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TEKNİK ŞARTNAME</w:t>
      </w:r>
    </w:p>
    <w:p>
      <w:pPr>
        <w:spacing w:after="200" w:before="0"/>
      </w:pPr>
      <w:r>
        <w:rPr>
          <w:rFonts w:ascii="Calibri" w:hAnsi="Calibri"/>
          <w:b/>
          <w:i w:val="0"/>
          <w:color w:val="CA4B04"/>
          <w:sz w:val="24"/>
        </w:rPr>
        <w:t>BILGISAYAR VE TEKNOLOJI DONANIMI</w:t>
      </w:r>
    </w:p>
    <w:tbl>
      <w:tblPr>
        <w:tblW w:type="auto" w:w="0"/>
        <w:jc w:val="left"/>
        <w:tblLook w:firstColumn="1" w:firstRow="1" w:lastColumn="0" w:lastRow="0" w:noHBand="0" w:noVBand="1" w:val="04A0"/>
      </w:tblPr>
      <w:tblGrid>
        <w:gridCol w:w="5043"/>
        <w:gridCol w:w="5043"/>
      </w:tblGrid>
      <w:tr>
        <w:tc>
          <w:tcPr>
            <w:tcW w:type="dxa" w:w="2494"/>
            <w:shd w:val="clear" w:fill="F4F8FC"/>
          </w:tcPr>
          <w:p>
            <w:pPr>
              <w:spacing w:after="40"/>
            </w:pPr>
            <w:r>
              <w:rPr>
                <w:rFonts w:ascii="Calibri" w:hAnsi="Calibri"/>
                <w:b/>
                <w:i w:val="0"/>
                <w:color w:val="1F2937"/>
                <w:sz w:val="18"/>
              </w:rPr>
              <w:t>İdare / Kurum</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İşin adı</w:t>
            </w:r>
          </w:p>
        </w:tc>
        <w:tc>
          <w:tcPr>
            <w:tcW w:type="dxa" w:w="7030"/>
          </w:tcPr>
          <w:p>
            <w:pPr>
              <w:spacing w:after="40"/>
            </w:pPr>
            <w:r>
              <w:rPr>
                <w:rFonts w:ascii="Calibri" w:hAnsi="Calibri"/>
                <w:b w:val="0"/>
                <w:i w:val="0"/>
                <w:sz w:val="18"/>
              </w:rPr>
              <w:t>Bilgisayar ve Teknoloji Donanımı Alımı</w:t>
            </w:r>
          </w:p>
        </w:tc>
      </w:tr>
      <w:tr>
        <w:tc>
          <w:tcPr>
            <w:tcW w:type="dxa" w:w="2494"/>
            <w:shd w:val="clear" w:fill="F4F8FC"/>
          </w:tcPr>
          <w:p>
            <w:pPr>
              <w:spacing w:after="40"/>
            </w:pPr>
            <w:r>
              <w:rPr>
                <w:rFonts w:ascii="Calibri" w:hAnsi="Calibri"/>
                <w:b/>
                <w:i w:val="0"/>
                <w:color w:val="1F2937"/>
                <w:sz w:val="18"/>
              </w:rPr>
              <w:t>Şartname tarihi</w:t>
            </w:r>
          </w:p>
        </w:tc>
        <w:tc>
          <w:tcPr>
            <w:tcW w:type="dxa" w:w="7030"/>
          </w:tcPr>
          <w:p>
            <w:pPr>
              <w:spacing w:after="40"/>
            </w:pPr>
            <w:r>
              <w:rPr>
                <w:rFonts w:ascii="Calibri" w:hAnsi="Calibri"/>
                <w:b w:val="0"/>
                <w:i w:val="0"/>
                <w:sz w:val="18"/>
              </w:rPr>
              <w:t>…</w:t>
            </w:r>
          </w:p>
        </w:tc>
      </w:tr>
      <w:tr>
        <w:tc>
          <w:tcPr>
            <w:tcW w:type="dxa" w:w="2494"/>
            <w:shd w:val="clear" w:fill="F4F8FC"/>
          </w:tcPr>
          <w:p>
            <w:pPr>
              <w:spacing w:after="40"/>
            </w:pPr>
            <w:r>
              <w:rPr>
                <w:rFonts w:ascii="Calibri" w:hAnsi="Calibri"/>
                <w:b/>
                <w:i w:val="0"/>
                <w:color w:val="1F2937"/>
                <w:sz w:val="18"/>
              </w:rPr>
              <w:t>Doküman no</w:t>
            </w:r>
          </w:p>
        </w:tc>
        <w:tc>
          <w:tcPr>
            <w:tcW w:type="dxa" w:w="7030"/>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Kapsam</w:t>
      </w:r>
    </w:p>
    <w:p>
      <w:pPr>
        <w:spacing w:after="120" w:before="0"/>
      </w:pPr>
      <w:r>
        <w:rPr>
          <w:rFonts w:ascii="Calibri" w:hAnsi="Calibri"/>
          <w:b w:val="0"/>
          <w:i w:val="0"/>
          <w:sz w:val="20"/>
        </w:rPr>
        <w:t>Bu teknik şartname, aşağıdaki tabloda cinsi, teknik özellikleri, birimi ve miktarı belirtilen bilgisayar ve teknoloji donanımı kalemlerinin satın alınmasına ilişkin teknik kriterleri kapsar.</w:t>
      </w:r>
    </w:p>
    <w:p>
      <w:pPr>
        <w:spacing w:before="200" w:after="100"/>
      </w:pPr>
      <w:r>
        <w:rPr>
          <w:rFonts w:ascii="Calibri" w:hAnsi="Calibri"/>
          <w:b/>
          <w:i w:val="0"/>
          <w:color w:val="1F2937"/>
          <w:sz w:val="22"/>
        </w:rPr>
        <w:t>2. Standartlara uygunluk</w:t>
      </w:r>
    </w:p>
    <w:p>
      <w:pPr>
        <w:spacing w:after="120" w:before="0"/>
      </w:pPr>
      <w:r>
        <w:rPr>
          <w:rFonts w:ascii="Calibri" w:hAnsi="Calibri"/>
          <w:b w:val="0"/>
          <w:i w:val="0"/>
          <w:sz w:val="20"/>
        </w:rPr>
        <w:t>Teklif edilen ürünlerin, tabloda atıf yapılan ulusal ve/veya uluslararası standartlara uygun olması zorunludur. İlgili mevzuat gereği CE işareti taşıması gereken ürünlerde CE işareti ve AB uygunluk beyanı aranır. Biyosidal ürünlerde Sağlık Bakanlığı ruhsatı, kişisel koruyucu donanımlarda ise ilgili standartlara göre düzenlenmiş uygunluk belgeleri istenir.</w:t>
      </w:r>
    </w:p>
    <w:p>
      <w:pPr>
        <w:spacing w:before="200" w:after="100"/>
      </w:pPr>
      <w:r>
        <w:rPr>
          <w:rFonts w:ascii="Calibri" w:hAnsi="Calibri"/>
          <w:b/>
          <w:i w:val="0"/>
          <w:color w:val="1F2937"/>
          <w:sz w:val="22"/>
        </w:rPr>
        <w:t>3. Marka ve model</w:t>
      </w:r>
    </w:p>
    <w:p>
      <w:pPr>
        <w:spacing w:after="120" w:before="0"/>
      </w:pPr>
      <w:r>
        <w:rPr>
          <w:rFonts w:ascii="Calibri" w:hAnsi="Calibri"/>
          <w:b w:val="0"/>
          <w:i w:val="0"/>
          <w:sz w:val="20"/>
        </w:rPr>
        <w:t>Teknik özellikler, belirli bir marka veya modele yönlendirme yapmayacak biçimde, ölçülebilir teknik kriterlerle tanımlanmıştır. Tabloda hiçbir kalem için marka, model, patent, menşei, kaynak veya ürün belirtilmemiştir. 4734 sayılı Kamu İhale Kanunu'nun 12 nci maddesi uyarınca, ulusal ve/veya uluslararası teknik standartların bulunmaması veya teknik özelliklerin belirlenmesinin mümkün olmaması hâllerinde, “veya dengi” ifadesine yer verilmek şartıyla marka veya model belirtilebilir. Bu hâlde denkliğin hangi teknik özelliklere göre değerlendirileceğinin ayrıca yazılması, değerlendirme aşamasındaki tartışmayı önler.</w:t>
      </w:r>
    </w:p>
    <w:p>
      <w:pPr>
        <w:spacing w:before="200" w:after="100"/>
      </w:pPr>
      <w:r>
        <w:rPr>
          <w:rFonts w:ascii="Calibri" w:hAnsi="Calibri"/>
          <w:b/>
          <w:i w:val="0"/>
          <w:color w:val="1F2937"/>
          <w:sz w:val="22"/>
        </w:rPr>
        <w:t>4. Ambalaj ve etiketleme</w:t>
      </w:r>
    </w:p>
    <w:p>
      <w:pPr>
        <w:spacing w:after="120" w:before="0"/>
      </w:pPr>
      <w:r>
        <w:rPr>
          <w:rFonts w:ascii="Calibri" w:hAnsi="Calibri"/>
          <w:b w:val="0"/>
          <w:i w:val="0"/>
          <w:sz w:val="20"/>
        </w:rPr>
        <w:t>Ürünler orijinal ambalajında, ambalajı açılmamış ve zarar görmemiş olarak teslim edilir. Ambalaj üzerinde ürün adı, üretici/ithalatçı bilgisi, parti veya seri numarası, üretim tarihi ve varsa son kullanma tarihi okunaklı biçimde bulunur. Türkçe kullanım talimatı gerektiren ürünlerde talimat ambalajda veya ekinde yer alır.</w:t>
      </w:r>
    </w:p>
    <w:p>
      <w:pPr>
        <w:spacing w:before="200" w:after="100"/>
      </w:pPr>
      <w:r>
        <w:rPr>
          <w:rFonts w:ascii="Calibri" w:hAnsi="Calibri"/>
          <w:b/>
          <w:i w:val="0"/>
          <w:color w:val="1F2937"/>
          <w:sz w:val="22"/>
        </w:rPr>
        <w:t>5. Raf ömrü</w:t>
      </w:r>
    </w:p>
    <w:p>
      <w:pPr>
        <w:spacing w:after="120" w:before="0"/>
      </w:pPr>
      <w:r>
        <w:rPr>
          <w:rFonts w:ascii="Calibri" w:hAnsi="Calibri"/>
          <w:b w:val="0"/>
          <w:i w:val="0"/>
          <w:sz w:val="20"/>
        </w:rPr>
        <w:t>Son kullanma tarihi olan ürünlerde, teslim tarihi itibarıyla toplam raf ömrünün en az %75'i kalmış olmalıdır. Bu koşulu sağlamayan ürünler kabul edilmez.</w:t>
      </w:r>
    </w:p>
    <w:p>
      <w:pPr>
        <w:spacing w:before="200" w:after="100"/>
      </w:pPr>
      <w:r>
        <w:rPr>
          <w:rFonts w:ascii="Calibri" w:hAnsi="Calibri"/>
          <w:b/>
          <w:i w:val="0"/>
          <w:color w:val="1F2937"/>
          <w:sz w:val="22"/>
        </w:rPr>
        <w:t>6. Güvenlik bilgi formu</w:t>
      </w:r>
    </w:p>
    <w:p>
      <w:pPr>
        <w:spacing w:after="120" w:before="0"/>
      </w:pPr>
      <w:r>
        <w:rPr>
          <w:rFonts w:ascii="Calibri" w:hAnsi="Calibri"/>
          <w:b w:val="0"/>
          <w:i w:val="0"/>
          <w:sz w:val="20"/>
        </w:rPr>
        <w:t>Kimyasal ürünlerde, ilgili mevzuata uygun düzenlenmiş güncel Türkçe Güvenlik Bilgi Formu (GBF/SDS) teslimatla birlikte verilir.</w:t>
      </w:r>
    </w:p>
    <w:p>
      <w:pPr>
        <w:spacing w:before="200" w:after="100"/>
      </w:pPr>
      <w:r>
        <w:rPr>
          <w:rFonts w:ascii="Calibri" w:hAnsi="Calibri"/>
          <w:b/>
          <w:i w:val="0"/>
          <w:color w:val="1F2937"/>
          <w:sz w:val="22"/>
        </w:rPr>
        <w:t>7. Numune</w:t>
      </w:r>
    </w:p>
    <w:p>
      <w:pPr>
        <w:spacing w:after="120" w:before="0"/>
      </w:pPr>
      <w:r>
        <w:rPr>
          <w:rFonts w:ascii="Calibri" w:hAnsi="Calibri"/>
          <w:b w:val="0"/>
          <w:i w:val="0"/>
          <w:sz w:val="20"/>
        </w:rPr>
        <w:t>İdare gerekli gördüğü kalemler için, değerlendirme aşamasında ücretsiz numune isteyebilir. Numuneler teklifle birlikte veya idarenin belirleyeceği süre içinde teslim edilir. Numunesi istenip verilmeyen kalem değerlendirme dışı bırakılabilir.</w:t>
      </w:r>
    </w:p>
    <w:p>
      <w:pPr>
        <w:spacing w:before="200" w:after="100"/>
      </w:pPr>
      <w:r>
        <w:rPr>
          <w:rFonts w:ascii="Calibri" w:hAnsi="Calibri"/>
          <w:b/>
          <w:i w:val="0"/>
          <w:color w:val="1F2937"/>
          <w:sz w:val="22"/>
        </w:rPr>
        <w:t>8. Teslim yeri ve süresi</w:t>
      </w:r>
    </w:p>
    <w:p>
      <w:pPr>
        <w:spacing w:after="120" w:before="0"/>
      </w:pPr>
      <w:r>
        <w:rPr>
          <w:rFonts w:ascii="Calibri" w:hAnsi="Calibri"/>
          <w:b w:val="0"/>
          <w:i w:val="0"/>
          <w:sz w:val="20"/>
        </w:rPr>
        <w:t>Teslimat, idarenin bildireceği adrese/adreslere yüklenici tarafından, nakliye ve boşaltma yüklenici sorumluluğunda olmak üzere yapılır. Teslim süresi sipariş bildiriminden itibaren en fazla … takvim günüdür. Birden fazla teslim noktası varsa her nokta için miktar ayrıca bildirilir.</w:t>
      </w:r>
    </w:p>
    <w:p>
      <w:pPr>
        <w:spacing w:before="200" w:after="100"/>
      </w:pPr>
      <w:r>
        <w:rPr>
          <w:rFonts w:ascii="Calibri" w:hAnsi="Calibri"/>
          <w:b/>
          <w:i w:val="0"/>
          <w:color w:val="1F2937"/>
          <w:sz w:val="22"/>
        </w:rPr>
        <w:t>9. Kısmi teslim</w:t>
      </w:r>
    </w:p>
    <w:p>
      <w:pPr>
        <w:spacing w:after="120" w:before="0"/>
      </w:pPr>
      <w:r>
        <w:rPr>
          <w:rFonts w:ascii="Calibri" w:hAnsi="Calibri"/>
          <w:b w:val="0"/>
          <w:i w:val="0"/>
          <w:sz w:val="20"/>
        </w:rPr>
        <w:t>İdarenin onayı olmadan kısmi teslimat yapılamaz. Onaylı kısmi teslimlerde her sevkiyat için ayrı irsaliye düzenlenir.</w:t>
      </w:r>
    </w:p>
    <w:p>
      <w:pPr>
        <w:spacing w:before="200" w:after="100"/>
      </w:pPr>
      <w:r>
        <w:rPr>
          <w:rFonts w:ascii="Calibri" w:hAnsi="Calibri"/>
          <w:b/>
          <w:i w:val="0"/>
          <w:color w:val="1F2937"/>
          <w:sz w:val="22"/>
        </w:rPr>
        <w:t>10. Muayene ve kabul</w:t>
      </w:r>
    </w:p>
    <w:p>
      <w:pPr>
        <w:spacing w:after="120" w:before="0"/>
      </w:pPr>
      <w:r>
        <w:rPr>
          <w:rFonts w:ascii="Calibri" w:hAnsi="Calibri"/>
          <w:b w:val="0"/>
          <w:i w:val="0"/>
          <w:sz w:val="20"/>
        </w:rPr>
        <w:t>Teslim edilen ürünler, idare tarafından oluşturulacak muayene ve kabul komisyonu tarafından bu şartnamedeki kriterlere göre incelenir. Uygun bulunmayan kalemler tutanakla tespit edilir ve yüklenici tarafından en geç … takvim günü içinde masrafları kendisine ait olmak üzere değiştirilir.</w:t>
      </w:r>
    </w:p>
    <w:p>
      <w:pPr>
        <w:spacing w:before="200" w:after="100"/>
      </w:pPr>
      <w:r>
        <w:rPr>
          <w:rFonts w:ascii="Calibri" w:hAnsi="Calibri"/>
          <w:b/>
          <w:i w:val="0"/>
          <w:color w:val="1F2937"/>
          <w:sz w:val="22"/>
        </w:rPr>
        <w:t>11. Garanti</w:t>
      </w:r>
    </w:p>
    <w:p>
      <w:pPr>
        <w:spacing w:after="120" w:before="0"/>
      </w:pPr>
      <w:r>
        <w:rPr>
          <w:rFonts w:ascii="Calibri" w:hAnsi="Calibri"/>
          <w:b w:val="0"/>
          <w:i w:val="0"/>
          <w:sz w:val="20"/>
        </w:rPr>
        <w:t>Cihaz, alet ve ekipman niteliğindeki kalemler, teslim tarihinden itibaren en az 2 (iki) yıl üretim hatalarına karşı garantilidir. Garanti kapsamındaki arızalarda değişim veya onarım süresi en fazla … iş günüdür.</w:t>
      </w:r>
    </w:p>
    <w:p>
      <w:pPr>
        <w:spacing w:before="200" w:after="100"/>
      </w:pPr>
      <w:r>
        <w:rPr>
          <w:rFonts w:ascii="Calibri" w:hAnsi="Calibri"/>
          <w:b/>
          <w:i w:val="0"/>
          <w:color w:val="1F2937"/>
          <w:sz w:val="22"/>
        </w:rPr>
        <w:t>12. Sorumluluk</w:t>
      </w:r>
    </w:p>
    <w:p>
      <w:pPr>
        <w:spacing w:after="120" w:before="0"/>
      </w:pPr>
      <w:r>
        <w:rPr>
          <w:rFonts w:ascii="Calibri" w:hAnsi="Calibri"/>
          <w:b w:val="0"/>
          <w:i w:val="0"/>
          <w:sz w:val="20"/>
        </w:rPr>
        <w:t>Ürünlerin taşınması sırasında oluşacak hasar, kayıp ve gecikmelerden yüklenici sorumludur. Hatalı, eksik veya şartnameye aykırı teslimattan doğan zararlar yükleniciye aittir.</w:t>
      </w:r>
    </w:p>
    <w:p>
      <w:pPr>
        <w:spacing w:before="200" w:after="100"/>
      </w:pPr>
      <w:r>
        <w:rPr>
          <w:rFonts w:ascii="Calibri" w:hAnsi="Calibri"/>
          <w:b/>
          <w:i w:val="0"/>
          <w:color w:val="1F2937"/>
          <w:sz w:val="22"/>
        </w:rPr>
        <w:t>13. Fiyat ve fatura</w:t>
      </w:r>
    </w:p>
    <w:p>
      <w:pPr>
        <w:spacing w:after="120" w:before="0"/>
      </w:pPr>
      <w:r>
        <w:rPr>
          <w:rFonts w:ascii="Calibri" w:hAnsi="Calibri"/>
          <w:b w:val="0"/>
          <w:i w:val="0"/>
          <w:sz w:val="20"/>
        </w:rPr>
        <w:t>Birim fiyatlar KDV hariç verilir; KDV oranı ayrı satırda gösterilir. Teklif geçerlilik süresi en az … gündür. Fatura, teslimatı takiben tek fatura hâlinde düzenlenir.</w:t>
      </w:r>
    </w:p>
    <w:p>
      <w:pPr>
        <w:spacing w:before="280" w:after="100"/>
      </w:pPr>
      <w:r>
        <w:rPr>
          <w:rFonts w:ascii="Calibri" w:hAnsi="Calibri"/>
          <w:b/>
          <w:i w:val="0"/>
          <w:color w:val="1F2937"/>
          <w:sz w:val="26"/>
        </w:rPr>
        <w:t>14. Kalem listesi ve teknik özellikler</w:t>
      </w:r>
    </w:p>
    <w:p>
      <w:pPr>
        <w:spacing w:after="160" w:before="0"/>
      </w:pPr>
      <w:r>
        <w:rPr>
          <w:rFonts w:ascii="Calibri" w:hAnsi="Calibri"/>
          <w:b w:val="0"/>
          <w:i w:val="0"/>
          <w:color w:val="5F7891"/>
          <w:sz w:val="18"/>
        </w:rPr>
        <w:t>Aşağıdaki tabloda 28 kalem yer almaktadır. Kurumunuzun ihtiyacı olmayan satırları silin, gereken satırları ekleyin ve “Miktar” sütununu doldurun.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737"/>
            <w:shd w:val="clear" w:fill="1F2937"/>
          </w:tcPr>
          <w:p>
            <w:pPr>
              <w:spacing w:after="40" w:before="40"/>
              <w:jc w:val="center"/>
            </w:pPr>
            <w:r>
              <w:rPr>
                <w:rFonts w:ascii="Calibri" w:hAnsi="Calibri"/>
                <w:b/>
                <w:i w:val="0"/>
                <w:color w:val="FFFFFF"/>
                <w:sz w:val="18"/>
              </w:rPr>
              <w:t>Sıra No</w:t>
            </w:r>
          </w:p>
        </w:tc>
        <w:tc>
          <w:tcPr>
            <w:tcW w:type="dxa" w:w="2438"/>
            <w:shd w:val="clear" w:fill="1F2937"/>
          </w:tcPr>
          <w:p>
            <w:pPr>
              <w:spacing w:after="40" w:before="40"/>
              <w:jc w:val="center"/>
            </w:pPr>
            <w:r>
              <w:rPr>
                <w:rFonts w:ascii="Calibri" w:hAnsi="Calibri"/>
                <w:b/>
                <w:i w:val="0"/>
                <w:color w:val="FFFFFF"/>
                <w:sz w:val="18"/>
              </w:rPr>
              <w:t>Malzemenin Cinsi</w:t>
            </w:r>
          </w:p>
        </w:tc>
        <w:tc>
          <w:tcPr>
            <w:tcW w:type="dxa" w:w="4762"/>
            <w:shd w:val="clear" w:fill="1F2937"/>
          </w:tcPr>
          <w:p>
            <w:pPr>
              <w:spacing w:after="40" w:before="40"/>
              <w:jc w:val="center"/>
            </w:pPr>
            <w:r>
              <w:rPr>
                <w:rFonts w:ascii="Calibri" w:hAnsi="Calibri"/>
                <w:b/>
                <w:i w:val="0"/>
                <w:color w:val="FFFFFF"/>
                <w:sz w:val="18"/>
              </w:rPr>
              <w:t>Teknik Özellikleri</w:t>
            </w:r>
          </w:p>
        </w:tc>
        <w:tc>
          <w:tcPr>
            <w:tcW w:type="dxa" w:w="850"/>
            <w:shd w:val="clear" w:fill="1F2937"/>
          </w:tcPr>
          <w:p>
            <w:pPr>
              <w:spacing w:after="40" w:before="40"/>
              <w:jc w:val="center"/>
            </w:pPr>
            <w:r>
              <w:rPr>
                <w:rFonts w:ascii="Calibri" w:hAnsi="Calibri"/>
                <w:b/>
                <w:i w:val="0"/>
                <w:color w:val="FFFFFF"/>
                <w:sz w:val="18"/>
              </w:rPr>
              <w:t>Birimi</w:t>
            </w:r>
          </w:p>
        </w:tc>
        <w:tc>
          <w:tcPr>
            <w:tcW w:type="dxa" w:w="850"/>
            <w:shd w:val="clear" w:fill="1F2937"/>
          </w:tcPr>
          <w:p>
            <w:pPr>
              <w:spacing w:after="40" w:before="40"/>
              <w:jc w:val="center"/>
            </w:pPr>
            <w:r>
              <w:rPr>
                <w:rFonts w:ascii="Calibri" w:hAnsi="Calibri"/>
                <w:b/>
                <w:i w:val="0"/>
                <w:color w:val="FFFFFF"/>
                <w:sz w:val="18"/>
              </w:rPr>
              <w:t>Miktarı</w:t>
            </w:r>
          </w:p>
        </w:tc>
      </w:tr>
      <w:tr>
        <w:tc>
          <w:tcPr>
            <w:tcW w:type="dxa" w:w="737"/>
          </w:tcPr>
          <w:p>
            <w:pPr>
              <w:spacing w:after="40" w:before="40"/>
              <w:jc w:val="center"/>
            </w:pPr>
            <w:r>
              <w:rPr>
                <w:rFonts w:ascii="Calibri" w:hAnsi="Calibri"/>
                <w:b w:val="0"/>
                <w:i w:val="0"/>
                <w:sz w:val="17"/>
              </w:rPr>
              <w:t>1</w:t>
            </w:r>
          </w:p>
        </w:tc>
        <w:tc>
          <w:tcPr>
            <w:tcW w:type="dxa" w:w="2438"/>
          </w:tcPr>
          <w:p>
            <w:pPr>
              <w:spacing w:after="40" w:before="40"/>
            </w:pPr>
            <w:r>
              <w:rPr>
                <w:rFonts w:ascii="Calibri" w:hAnsi="Calibri"/>
                <w:b/>
                <w:i w:val="0"/>
                <w:sz w:val="17"/>
              </w:rPr>
              <w:t>Dizüstü bilgisayar, ofis sınıfı</w:t>
            </w:r>
          </w:p>
        </w:tc>
        <w:tc>
          <w:tcPr>
            <w:tcW w:type="dxa" w:w="4762"/>
          </w:tcPr>
          <w:p>
            <w:pPr>
              <w:spacing w:after="40" w:before="40"/>
            </w:pPr>
            <w:r>
              <w:rPr>
                <w:rFonts w:ascii="Calibri" w:hAnsi="Calibri"/>
                <w:b w:val="0"/>
                <w:i w:val="0"/>
                <w:sz w:val="17"/>
              </w:rPr>
              <w:t>14 veya 15,6 inç, en az 16 GB RAM, en az 512 GB NVMe SSD, tam boy klavye, Wi-Fi ve Bluetooth, en az 2 × USB-A ve 1 × USB-C, HDMI çıkışı, 3 yıl yerinde garanti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w:t>
            </w:r>
          </w:p>
        </w:tc>
        <w:tc>
          <w:tcPr>
            <w:tcW w:type="dxa" w:w="2438"/>
            <w:shd w:val="clear" w:fill="F4F8FC"/>
          </w:tcPr>
          <w:p>
            <w:pPr>
              <w:spacing w:after="40" w:before="40"/>
            </w:pPr>
            <w:r>
              <w:rPr>
                <w:rFonts w:ascii="Calibri" w:hAnsi="Calibri"/>
                <w:b/>
                <w:i w:val="0"/>
                <w:sz w:val="17"/>
              </w:rPr>
              <w:t>Dizüstü bilgisayar, mühendislik sınıfı</w:t>
            </w:r>
          </w:p>
        </w:tc>
        <w:tc>
          <w:tcPr>
            <w:tcW w:type="dxa" w:w="4762"/>
            <w:shd w:val="clear" w:fill="F4F8FC"/>
          </w:tcPr>
          <w:p>
            <w:pPr>
              <w:spacing w:after="40" w:before="40"/>
            </w:pPr>
            <w:r>
              <w:rPr>
                <w:rFonts w:ascii="Calibri" w:hAnsi="Calibri"/>
                <w:b w:val="0"/>
                <w:i w:val="0"/>
                <w:sz w:val="17"/>
              </w:rPr>
              <w:t>15,6 veya 16 inç, ayrık ekran kartı, en az 32 GB RAM, en az 1 TB NVMe SSD, Thunderbolt/USB4 destekli en az bir port</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3</w:t>
            </w:r>
          </w:p>
        </w:tc>
        <w:tc>
          <w:tcPr>
            <w:tcW w:type="dxa" w:w="2438"/>
          </w:tcPr>
          <w:p>
            <w:pPr>
              <w:spacing w:after="40" w:before="40"/>
            </w:pPr>
            <w:r>
              <w:rPr>
                <w:rFonts w:ascii="Calibri" w:hAnsi="Calibri"/>
                <w:b/>
                <w:i w:val="0"/>
                <w:sz w:val="17"/>
              </w:rPr>
              <w:t>Masaüstü bilgisayar (kasa)</w:t>
            </w:r>
          </w:p>
        </w:tc>
        <w:tc>
          <w:tcPr>
            <w:tcW w:type="dxa" w:w="4762"/>
          </w:tcPr>
          <w:p>
            <w:pPr>
              <w:spacing w:after="40" w:before="40"/>
            </w:pPr>
            <w:r>
              <w:rPr>
                <w:rFonts w:ascii="Calibri" w:hAnsi="Calibri"/>
                <w:b w:val="0"/>
                <w:i w:val="0"/>
                <w:sz w:val="17"/>
              </w:rPr>
              <w:t>Küçük form faktör (SFF) veya mini kasa, en az 16 GB RAM, en az 512 GB NVMe SSD, en az 4 × USB, çift ekran çıkışı, 3 yıl garanti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4</w:t>
            </w:r>
          </w:p>
        </w:tc>
        <w:tc>
          <w:tcPr>
            <w:tcW w:type="dxa" w:w="2438"/>
            <w:shd w:val="clear" w:fill="F4F8FC"/>
          </w:tcPr>
          <w:p>
            <w:pPr>
              <w:spacing w:after="40" w:before="40"/>
            </w:pPr>
            <w:r>
              <w:rPr>
                <w:rFonts w:ascii="Calibri" w:hAnsi="Calibri"/>
                <w:b/>
                <w:i w:val="0"/>
                <w:sz w:val="17"/>
              </w:rPr>
              <w:t>Monitör, 24 inç</w:t>
            </w:r>
          </w:p>
        </w:tc>
        <w:tc>
          <w:tcPr>
            <w:tcW w:type="dxa" w:w="4762"/>
            <w:shd w:val="clear" w:fill="F4F8FC"/>
          </w:tcPr>
          <w:p>
            <w:pPr>
              <w:spacing w:after="40" w:before="40"/>
            </w:pPr>
            <w:r>
              <w:rPr>
                <w:rFonts w:ascii="Calibri" w:hAnsi="Calibri"/>
                <w:b w:val="0"/>
                <w:i w:val="0"/>
                <w:sz w:val="17"/>
              </w:rPr>
              <w:t>1920×1080 IPS panel, yükseklik ve dönüş ayarlı ayak, VESA 100×100, HDMI + DisplayPort, mavi ışık ve titreşimsiz (flicker-free) sertifikalı</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5</w:t>
            </w:r>
          </w:p>
        </w:tc>
        <w:tc>
          <w:tcPr>
            <w:tcW w:type="dxa" w:w="2438"/>
          </w:tcPr>
          <w:p>
            <w:pPr>
              <w:spacing w:after="40" w:before="40"/>
            </w:pPr>
            <w:r>
              <w:rPr>
                <w:rFonts w:ascii="Calibri" w:hAnsi="Calibri"/>
                <w:b/>
                <w:i w:val="0"/>
                <w:sz w:val="17"/>
              </w:rPr>
              <w:t>Monitör, 27 inç</w:t>
            </w:r>
          </w:p>
        </w:tc>
        <w:tc>
          <w:tcPr>
            <w:tcW w:type="dxa" w:w="4762"/>
          </w:tcPr>
          <w:p>
            <w:pPr>
              <w:spacing w:after="40" w:before="40"/>
            </w:pPr>
            <w:r>
              <w:rPr>
                <w:rFonts w:ascii="Calibri" w:hAnsi="Calibri"/>
                <w:b w:val="0"/>
                <w:i w:val="0"/>
                <w:sz w:val="17"/>
              </w:rPr>
              <w:t>2560×1440 IPS panel, yükseklik/eğim/dönüş ayarlı, VESA 100×100, HDMI + DisplayPort + USB-C (güç aktarımlı seçenek)</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6</w:t>
            </w:r>
          </w:p>
        </w:tc>
        <w:tc>
          <w:tcPr>
            <w:tcW w:type="dxa" w:w="2438"/>
            <w:shd w:val="clear" w:fill="F4F8FC"/>
          </w:tcPr>
          <w:p>
            <w:pPr>
              <w:spacing w:after="40" w:before="40"/>
            </w:pPr>
            <w:r>
              <w:rPr>
                <w:rFonts w:ascii="Calibri" w:hAnsi="Calibri"/>
                <w:b/>
                <w:i w:val="0"/>
                <w:sz w:val="17"/>
              </w:rPr>
              <w:t>Monitör kolu / masa askısı</w:t>
            </w:r>
          </w:p>
        </w:tc>
        <w:tc>
          <w:tcPr>
            <w:tcW w:type="dxa" w:w="4762"/>
            <w:shd w:val="clear" w:fill="F4F8FC"/>
          </w:tcPr>
          <w:p>
            <w:pPr>
              <w:spacing w:after="40" w:before="40"/>
            </w:pPr>
            <w:r>
              <w:rPr>
                <w:rFonts w:ascii="Calibri" w:hAnsi="Calibri"/>
                <w:b w:val="0"/>
                <w:i w:val="0"/>
                <w:sz w:val="17"/>
              </w:rPr>
              <w:t>Tek veya çift ekran, VESA 75/100 uyumlu, gaz amortisörlü, kelepçe ve grommet montaj aparatı dahil, taşıma kapasitesi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7</w:t>
            </w:r>
          </w:p>
        </w:tc>
        <w:tc>
          <w:tcPr>
            <w:tcW w:type="dxa" w:w="2438"/>
          </w:tcPr>
          <w:p>
            <w:pPr>
              <w:spacing w:after="40" w:before="40"/>
            </w:pPr>
            <w:r>
              <w:rPr>
                <w:rFonts w:ascii="Calibri" w:hAnsi="Calibri"/>
                <w:b/>
                <w:i w:val="0"/>
                <w:sz w:val="17"/>
              </w:rPr>
              <w:t>Yerleştirme istasyonu (dock)</w:t>
            </w:r>
          </w:p>
        </w:tc>
        <w:tc>
          <w:tcPr>
            <w:tcW w:type="dxa" w:w="4762"/>
          </w:tcPr>
          <w:p>
            <w:pPr>
              <w:spacing w:after="40" w:before="40"/>
            </w:pPr>
            <w:r>
              <w:rPr>
                <w:rFonts w:ascii="Calibri" w:hAnsi="Calibri"/>
                <w:b w:val="0"/>
                <w:i w:val="0"/>
                <w:sz w:val="17"/>
              </w:rPr>
              <w:t>USB-C tek kablo, güç aktarımı (PD) watt değeri belirtilmiş, çift ekran çıkışı, Gigabit Ethernet, en az 3 × USB-A</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8</w:t>
            </w:r>
          </w:p>
        </w:tc>
        <w:tc>
          <w:tcPr>
            <w:tcW w:type="dxa" w:w="2438"/>
            <w:shd w:val="clear" w:fill="F4F8FC"/>
          </w:tcPr>
          <w:p>
            <w:pPr>
              <w:spacing w:after="40" w:before="40"/>
            </w:pPr>
            <w:r>
              <w:rPr>
                <w:rFonts w:ascii="Calibri" w:hAnsi="Calibri"/>
                <w:b/>
                <w:i w:val="0"/>
                <w:sz w:val="17"/>
              </w:rPr>
              <w:t>Klavye ve fare seti</w:t>
            </w:r>
          </w:p>
        </w:tc>
        <w:tc>
          <w:tcPr>
            <w:tcW w:type="dxa" w:w="4762"/>
            <w:shd w:val="clear" w:fill="F4F8FC"/>
          </w:tcPr>
          <w:p>
            <w:pPr>
              <w:spacing w:after="40" w:before="40"/>
            </w:pPr>
            <w:r>
              <w:rPr>
                <w:rFonts w:ascii="Calibri" w:hAnsi="Calibri"/>
                <w:b w:val="0"/>
                <w:i w:val="0"/>
                <w:sz w:val="17"/>
              </w:rPr>
              <w:t>Kablosuz veya kablolu, Türkçe Q düzen, çok cihazlı eşleşme seçenekli, sessiz tuş seçeneği</w:t>
            </w:r>
          </w:p>
        </w:tc>
        <w:tc>
          <w:tcPr>
            <w:tcW w:type="dxa" w:w="850"/>
            <w:shd w:val="clear" w:fill="F4F8FC"/>
          </w:tcPr>
          <w:p>
            <w:pPr>
              <w:spacing w:after="40" w:before="40"/>
              <w:jc w:val="center"/>
            </w:pPr>
            <w:r>
              <w:rPr>
                <w:rFonts w:ascii="Calibri" w:hAnsi="Calibri"/>
                <w:b w:val="0"/>
                <w:i w:val="0"/>
                <w:sz w:val="17"/>
              </w:rPr>
              <w:t>Takım</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9</w:t>
            </w:r>
          </w:p>
        </w:tc>
        <w:tc>
          <w:tcPr>
            <w:tcW w:type="dxa" w:w="2438"/>
          </w:tcPr>
          <w:p>
            <w:pPr>
              <w:spacing w:after="40" w:before="40"/>
            </w:pPr>
            <w:r>
              <w:rPr>
                <w:rFonts w:ascii="Calibri" w:hAnsi="Calibri"/>
                <w:b/>
                <w:i w:val="0"/>
                <w:sz w:val="17"/>
              </w:rPr>
              <w:t>Kulaklık, çağrı merkezi / toplantı</w:t>
            </w:r>
          </w:p>
        </w:tc>
        <w:tc>
          <w:tcPr>
            <w:tcW w:type="dxa" w:w="4762"/>
          </w:tcPr>
          <w:p>
            <w:pPr>
              <w:spacing w:after="40" w:before="40"/>
            </w:pPr>
            <w:r>
              <w:rPr>
                <w:rFonts w:ascii="Calibri" w:hAnsi="Calibri"/>
                <w:b w:val="0"/>
                <w:i w:val="0"/>
                <w:sz w:val="17"/>
              </w:rPr>
              <w:t>Mikrofonlu, gürültü önleyici bum mikrofon, USB veya kablosuz, çift kulaklı seçenek, çağrı yazılımı uyumluluğu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10</w:t>
            </w:r>
          </w:p>
        </w:tc>
        <w:tc>
          <w:tcPr>
            <w:tcW w:type="dxa" w:w="2438"/>
            <w:shd w:val="clear" w:fill="F4F8FC"/>
          </w:tcPr>
          <w:p>
            <w:pPr>
              <w:spacing w:after="40" w:before="40"/>
            </w:pPr>
            <w:r>
              <w:rPr>
                <w:rFonts w:ascii="Calibri" w:hAnsi="Calibri"/>
                <w:b/>
                <w:i w:val="0"/>
                <w:sz w:val="17"/>
              </w:rPr>
              <w:t>Web kamerası</w:t>
            </w:r>
          </w:p>
        </w:tc>
        <w:tc>
          <w:tcPr>
            <w:tcW w:type="dxa" w:w="4762"/>
            <w:shd w:val="clear" w:fill="F4F8FC"/>
          </w:tcPr>
          <w:p>
            <w:pPr>
              <w:spacing w:after="40" w:before="40"/>
            </w:pPr>
            <w:r>
              <w:rPr>
                <w:rFonts w:ascii="Calibri" w:hAnsi="Calibri"/>
                <w:b w:val="0"/>
                <w:i w:val="0"/>
                <w:sz w:val="17"/>
              </w:rPr>
              <w:t>En az 1080p, otomatik odak, çift mikrofon, gizlilik kapağı, tripod dişi</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11</w:t>
            </w:r>
          </w:p>
        </w:tc>
        <w:tc>
          <w:tcPr>
            <w:tcW w:type="dxa" w:w="2438"/>
          </w:tcPr>
          <w:p>
            <w:pPr>
              <w:spacing w:after="40" w:before="40"/>
            </w:pPr>
            <w:r>
              <w:rPr>
                <w:rFonts w:ascii="Calibri" w:hAnsi="Calibri"/>
                <w:b/>
                <w:i w:val="0"/>
                <w:sz w:val="17"/>
              </w:rPr>
              <w:t>Yazıcı, mono lazer (departman)</w:t>
            </w:r>
          </w:p>
        </w:tc>
        <w:tc>
          <w:tcPr>
            <w:tcW w:type="dxa" w:w="4762"/>
          </w:tcPr>
          <w:p>
            <w:pPr>
              <w:spacing w:after="40" w:before="40"/>
            </w:pPr>
            <w:r>
              <w:rPr>
                <w:rFonts w:ascii="Calibri" w:hAnsi="Calibri"/>
                <w:b w:val="0"/>
                <w:i w:val="0"/>
                <w:sz w:val="17"/>
              </w:rPr>
              <w:t>Dakikada baskı hızı ve önerilen aylık baskı hacmi belirtilmiş, ağ ve çift yönlü (dupleks) baskı standart, ilk toner kapasitesi ayrıca yazılır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12</w:t>
            </w:r>
          </w:p>
        </w:tc>
        <w:tc>
          <w:tcPr>
            <w:tcW w:type="dxa" w:w="2438"/>
            <w:shd w:val="clear" w:fill="F4F8FC"/>
          </w:tcPr>
          <w:p>
            <w:pPr>
              <w:spacing w:after="40" w:before="40"/>
            </w:pPr>
            <w:r>
              <w:rPr>
                <w:rFonts w:ascii="Calibri" w:hAnsi="Calibri"/>
                <w:b/>
                <w:i w:val="0"/>
                <w:sz w:val="17"/>
              </w:rPr>
              <w:t>Çok fonksiyonlu yazıcı (renkli)</w:t>
            </w:r>
          </w:p>
        </w:tc>
        <w:tc>
          <w:tcPr>
            <w:tcW w:type="dxa" w:w="4762"/>
            <w:shd w:val="clear" w:fill="F4F8FC"/>
          </w:tcPr>
          <w:p>
            <w:pPr>
              <w:spacing w:after="40" w:before="40"/>
            </w:pPr>
            <w:r>
              <w:rPr>
                <w:rFonts w:ascii="Calibri" w:hAnsi="Calibri"/>
                <w:b w:val="0"/>
                <w:i w:val="0"/>
                <w:sz w:val="17"/>
              </w:rPr>
              <w:t>Baskı-tarama-fotokopi, otomatik doküman besleyici, ağ ve dupleks standart, aylık önerilen hacim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13</w:t>
            </w:r>
          </w:p>
        </w:tc>
        <w:tc>
          <w:tcPr>
            <w:tcW w:type="dxa" w:w="2438"/>
          </w:tcPr>
          <w:p>
            <w:pPr>
              <w:spacing w:after="40" w:before="40"/>
            </w:pPr>
            <w:r>
              <w:rPr>
                <w:rFonts w:ascii="Calibri" w:hAnsi="Calibri"/>
                <w:b/>
                <w:i w:val="0"/>
                <w:sz w:val="17"/>
              </w:rPr>
              <w:t>Etiket yazıcısı</w:t>
            </w:r>
          </w:p>
        </w:tc>
        <w:tc>
          <w:tcPr>
            <w:tcW w:type="dxa" w:w="4762"/>
          </w:tcPr>
          <w:p>
            <w:pPr>
              <w:spacing w:after="40" w:before="40"/>
            </w:pPr>
            <w:r>
              <w:rPr>
                <w:rFonts w:ascii="Calibri" w:hAnsi="Calibri"/>
                <w:b w:val="0"/>
                <w:i w:val="0"/>
                <w:sz w:val="17"/>
              </w:rPr>
              <w:t>Termal veya termal transfer, çözünürlük (dpi) ve etiket genişliği belirtilmiş, USB + ağ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14</w:t>
            </w:r>
          </w:p>
        </w:tc>
        <w:tc>
          <w:tcPr>
            <w:tcW w:type="dxa" w:w="2438"/>
            <w:shd w:val="clear" w:fill="F4F8FC"/>
          </w:tcPr>
          <w:p>
            <w:pPr>
              <w:spacing w:after="40" w:before="40"/>
            </w:pPr>
            <w:r>
              <w:rPr>
                <w:rFonts w:ascii="Calibri" w:hAnsi="Calibri"/>
                <w:b/>
                <w:i w:val="0"/>
                <w:sz w:val="17"/>
              </w:rPr>
              <w:t>Toner ve drum ünitesi</w:t>
            </w:r>
          </w:p>
        </w:tc>
        <w:tc>
          <w:tcPr>
            <w:tcW w:type="dxa" w:w="4762"/>
            <w:shd w:val="clear" w:fill="F4F8FC"/>
          </w:tcPr>
          <w:p>
            <w:pPr>
              <w:spacing w:after="40" w:before="40"/>
            </w:pPr>
            <w:r>
              <w:rPr>
                <w:rFonts w:ascii="Calibri" w:hAnsi="Calibri"/>
                <w:b w:val="0"/>
                <w:i w:val="0"/>
                <w:sz w:val="17"/>
              </w:rPr>
              <w:t>Yazıcı modeline uyumlu, sayfa verimi (ISO/IEC ölçümüne göre) belirtilmiş, orijinal veya muadil seçeneği teklifte ayrı satır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15</w:t>
            </w:r>
          </w:p>
        </w:tc>
        <w:tc>
          <w:tcPr>
            <w:tcW w:type="dxa" w:w="2438"/>
          </w:tcPr>
          <w:p>
            <w:pPr>
              <w:spacing w:after="40" w:before="40"/>
            </w:pPr>
            <w:r>
              <w:rPr>
                <w:rFonts w:ascii="Calibri" w:hAnsi="Calibri"/>
                <w:b/>
                <w:i w:val="0"/>
                <w:sz w:val="17"/>
              </w:rPr>
              <w:t>Barkod okuyucu</w:t>
            </w:r>
          </w:p>
        </w:tc>
        <w:tc>
          <w:tcPr>
            <w:tcW w:type="dxa" w:w="4762"/>
          </w:tcPr>
          <w:p>
            <w:pPr>
              <w:spacing w:after="40" w:before="40"/>
            </w:pPr>
            <w:r>
              <w:rPr>
                <w:rFonts w:ascii="Calibri" w:hAnsi="Calibri"/>
                <w:b w:val="0"/>
                <w:i w:val="0"/>
                <w:sz w:val="17"/>
              </w:rPr>
              <w:t>1D veya 2D, kablolu ya da kablosuz, çalışma mesafesi belirtilmiş, stand dahil seçenekli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16</w:t>
            </w:r>
          </w:p>
        </w:tc>
        <w:tc>
          <w:tcPr>
            <w:tcW w:type="dxa" w:w="2438"/>
            <w:shd w:val="clear" w:fill="F4F8FC"/>
          </w:tcPr>
          <w:p>
            <w:pPr>
              <w:spacing w:after="40" w:before="40"/>
            </w:pPr>
            <w:r>
              <w:rPr>
                <w:rFonts w:ascii="Calibri" w:hAnsi="Calibri"/>
                <w:b/>
                <w:i w:val="0"/>
                <w:sz w:val="17"/>
              </w:rPr>
              <w:t>Kesintisiz güç kaynağı (masaüstü)</w:t>
            </w:r>
          </w:p>
        </w:tc>
        <w:tc>
          <w:tcPr>
            <w:tcW w:type="dxa" w:w="4762"/>
            <w:shd w:val="clear" w:fill="F4F8FC"/>
          </w:tcPr>
          <w:p>
            <w:pPr>
              <w:spacing w:after="40" w:before="40"/>
            </w:pPr>
            <w:r>
              <w:rPr>
                <w:rFonts w:ascii="Calibri" w:hAnsi="Calibri"/>
                <w:b w:val="0"/>
                <w:i w:val="0"/>
                <w:sz w:val="17"/>
              </w:rPr>
              <w:t>600–1500 VA, hat interaktif, en az 4 korumalı priz, USB haberleşme, yedekleme süresi tipik yükte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17</w:t>
            </w:r>
          </w:p>
        </w:tc>
        <w:tc>
          <w:tcPr>
            <w:tcW w:type="dxa" w:w="2438"/>
          </w:tcPr>
          <w:p>
            <w:pPr>
              <w:spacing w:after="40" w:before="40"/>
            </w:pPr>
            <w:r>
              <w:rPr>
                <w:rFonts w:ascii="Calibri" w:hAnsi="Calibri"/>
                <w:b/>
                <w:i w:val="0"/>
                <w:sz w:val="17"/>
              </w:rPr>
              <w:t>Kesintisiz güç kaynağı (rack)</w:t>
            </w:r>
          </w:p>
        </w:tc>
        <w:tc>
          <w:tcPr>
            <w:tcW w:type="dxa" w:w="4762"/>
          </w:tcPr>
          <w:p>
            <w:pPr>
              <w:spacing w:after="40" w:before="40"/>
            </w:pPr>
            <w:r>
              <w:rPr>
                <w:rFonts w:ascii="Calibri" w:hAnsi="Calibri"/>
                <w:b w:val="0"/>
                <w:i w:val="0"/>
                <w:sz w:val="17"/>
              </w:rPr>
              <w:t>1–3 kVA, 19 inç rack montaj, online veya hat interaktif, harici akü grubu eklenebilir seçenek, SNMP kartı ayrı</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18</w:t>
            </w:r>
          </w:p>
        </w:tc>
        <w:tc>
          <w:tcPr>
            <w:tcW w:type="dxa" w:w="2438"/>
            <w:shd w:val="clear" w:fill="F4F8FC"/>
          </w:tcPr>
          <w:p>
            <w:pPr>
              <w:spacing w:after="40" w:before="40"/>
            </w:pPr>
            <w:r>
              <w:rPr>
                <w:rFonts w:ascii="Calibri" w:hAnsi="Calibri"/>
                <w:b/>
                <w:i w:val="0"/>
                <w:sz w:val="17"/>
              </w:rPr>
              <w:t>Ağ anahtarı (switch)</w:t>
            </w:r>
          </w:p>
        </w:tc>
        <w:tc>
          <w:tcPr>
            <w:tcW w:type="dxa" w:w="4762"/>
            <w:shd w:val="clear" w:fill="F4F8FC"/>
          </w:tcPr>
          <w:p>
            <w:pPr>
              <w:spacing w:after="40" w:before="40"/>
            </w:pPr>
            <w:r>
              <w:rPr>
                <w:rFonts w:ascii="Calibri" w:hAnsi="Calibri"/>
                <w:b w:val="0"/>
                <w:i w:val="0"/>
                <w:sz w:val="17"/>
              </w:rPr>
              <w:t>Port sayısı ve hızı belirtilmiş, yönetilebilir veya yönetilemez, PoE bütçesi (varsa) watt olarak, rack veya masaüstü</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19</w:t>
            </w:r>
          </w:p>
        </w:tc>
        <w:tc>
          <w:tcPr>
            <w:tcW w:type="dxa" w:w="2438"/>
          </w:tcPr>
          <w:p>
            <w:pPr>
              <w:spacing w:after="40" w:before="40"/>
            </w:pPr>
            <w:r>
              <w:rPr>
                <w:rFonts w:ascii="Calibri" w:hAnsi="Calibri"/>
                <w:b/>
                <w:i w:val="0"/>
                <w:sz w:val="17"/>
              </w:rPr>
              <w:t>Kablosuz erişim noktası</w:t>
            </w:r>
          </w:p>
        </w:tc>
        <w:tc>
          <w:tcPr>
            <w:tcW w:type="dxa" w:w="4762"/>
          </w:tcPr>
          <w:p>
            <w:pPr>
              <w:spacing w:after="40" w:before="40"/>
            </w:pPr>
            <w:r>
              <w:rPr>
                <w:rFonts w:ascii="Calibri" w:hAnsi="Calibri"/>
                <w:b w:val="0"/>
                <w:i w:val="0"/>
                <w:sz w:val="17"/>
              </w:rPr>
              <w:t>Wi-Fi standardı ve bant sayısı belirtilmiş, PoE beslemeli, tavan montaj aparatı dahil, denetleyici uyumluluğu belirtilmiş</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20</w:t>
            </w:r>
          </w:p>
        </w:tc>
        <w:tc>
          <w:tcPr>
            <w:tcW w:type="dxa" w:w="2438"/>
            <w:shd w:val="clear" w:fill="F4F8FC"/>
          </w:tcPr>
          <w:p>
            <w:pPr>
              <w:spacing w:after="40" w:before="40"/>
            </w:pPr>
            <w:r>
              <w:rPr>
                <w:rFonts w:ascii="Calibri" w:hAnsi="Calibri"/>
                <w:b/>
                <w:i w:val="0"/>
                <w:sz w:val="17"/>
              </w:rPr>
              <w:t>Güvenlik duvarı / yönlendirici</w:t>
            </w:r>
          </w:p>
        </w:tc>
        <w:tc>
          <w:tcPr>
            <w:tcW w:type="dxa" w:w="4762"/>
            <w:shd w:val="clear" w:fill="F4F8FC"/>
          </w:tcPr>
          <w:p>
            <w:pPr>
              <w:spacing w:after="40" w:before="40"/>
            </w:pPr>
            <w:r>
              <w:rPr>
                <w:rFonts w:ascii="Calibri" w:hAnsi="Calibri"/>
                <w:b w:val="0"/>
                <w:i w:val="0"/>
                <w:sz w:val="17"/>
              </w:rPr>
              <w:t>Eşzamanlı oturum ve verim (throughput) değerleri belirtilmiş, VPN desteği, lisans süresi ayrı satır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21</w:t>
            </w:r>
          </w:p>
        </w:tc>
        <w:tc>
          <w:tcPr>
            <w:tcW w:type="dxa" w:w="2438"/>
          </w:tcPr>
          <w:p>
            <w:pPr>
              <w:spacing w:after="40" w:before="40"/>
            </w:pPr>
            <w:r>
              <w:rPr>
                <w:rFonts w:ascii="Calibri" w:hAnsi="Calibri"/>
                <w:b/>
                <w:i w:val="0"/>
                <w:sz w:val="17"/>
              </w:rPr>
              <w:t>Ağ kablosu ve patch kablo</w:t>
            </w:r>
          </w:p>
        </w:tc>
        <w:tc>
          <w:tcPr>
            <w:tcW w:type="dxa" w:w="4762"/>
          </w:tcPr>
          <w:p>
            <w:pPr>
              <w:spacing w:after="40" w:before="40"/>
            </w:pPr>
            <w:r>
              <w:rPr>
                <w:rFonts w:ascii="Calibri" w:hAnsi="Calibri"/>
                <w:b w:val="0"/>
                <w:i w:val="0"/>
                <w:sz w:val="17"/>
              </w:rPr>
              <w:t>CAT6 veya CAT6A, tam bakır iletken, boy 0,5–5 m, LSZH kılıf seçenekli</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22</w:t>
            </w:r>
          </w:p>
        </w:tc>
        <w:tc>
          <w:tcPr>
            <w:tcW w:type="dxa" w:w="2438"/>
            <w:shd w:val="clear" w:fill="F4F8FC"/>
          </w:tcPr>
          <w:p>
            <w:pPr>
              <w:spacing w:after="40" w:before="40"/>
            </w:pPr>
            <w:r>
              <w:rPr>
                <w:rFonts w:ascii="Calibri" w:hAnsi="Calibri"/>
                <w:b/>
                <w:i w:val="0"/>
                <w:sz w:val="17"/>
              </w:rPr>
              <w:t>Rack kabinet ve aksesuarı</w:t>
            </w:r>
          </w:p>
        </w:tc>
        <w:tc>
          <w:tcPr>
            <w:tcW w:type="dxa" w:w="4762"/>
            <w:shd w:val="clear" w:fill="F4F8FC"/>
          </w:tcPr>
          <w:p>
            <w:pPr>
              <w:spacing w:after="40" w:before="40"/>
            </w:pPr>
            <w:r>
              <w:rPr>
                <w:rFonts w:ascii="Calibri" w:hAnsi="Calibri"/>
                <w:b w:val="0"/>
                <w:i w:val="0"/>
                <w:sz w:val="17"/>
              </w:rPr>
              <w:t>19 inç, U yüksekliği ve derinliği belirtilmiş, raf, fan kiti, priz bloğu ve kablo düzenleyici ayrı satır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23</w:t>
            </w:r>
          </w:p>
        </w:tc>
        <w:tc>
          <w:tcPr>
            <w:tcW w:type="dxa" w:w="2438"/>
          </w:tcPr>
          <w:p>
            <w:pPr>
              <w:spacing w:after="40" w:before="40"/>
            </w:pPr>
            <w:r>
              <w:rPr>
                <w:rFonts w:ascii="Calibri" w:hAnsi="Calibri"/>
                <w:b/>
                <w:i w:val="0"/>
                <w:sz w:val="17"/>
              </w:rPr>
              <w:t>Harici sabit disk / SSD</w:t>
            </w:r>
          </w:p>
        </w:tc>
        <w:tc>
          <w:tcPr>
            <w:tcW w:type="dxa" w:w="4762"/>
          </w:tcPr>
          <w:p>
            <w:pPr>
              <w:spacing w:after="40" w:before="40"/>
            </w:pPr>
            <w:r>
              <w:rPr>
                <w:rFonts w:ascii="Calibri" w:hAnsi="Calibri"/>
                <w:b w:val="0"/>
                <w:i w:val="0"/>
                <w:sz w:val="17"/>
              </w:rPr>
              <w:t>Kapasite belirtilmiş, USB-C, donanımsal şifreleme seçenekli, taşıma kılıfıyla</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24</w:t>
            </w:r>
          </w:p>
        </w:tc>
        <w:tc>
          <w:tcPr>
            <w:tcW w:type="dxa" w:w="2438"/>
            <w:shd w:val="clear" w:fill="F4F8FC"/>
          </w:tcPr>
          <w:p>
            <w:pPr>
              <w:spacing w:after="40" w:before="40"/>
            </w:pPr>
            <w:r>
              <w:rPr>
                <w:rFonts w:ascii="Calibri" w:hAnsi="Calibri"/>
                <w:b/>
                <w:i w:val="0"/>
                <w:sz w:val="17"/>
              </w:rPr>
              <w:t>Ağ depolama ünitesi (NAS)</w:t>
            </w:r>
          </w:p>
        </w:tc>
        <w:tc>
          <w:tcPr>
            <w:tcW w:type="dxa" w:w="4762"/>
            <w:shd w:val="clear" w:fill="F4F8FC"/>
          </w:tcPr>
          <w:p>
            <w:pPr>
              <w:spacing w:after="40" w:before="40"/>
            </w:pPr>
            <w:r>
              <w:rPr>
                <w:rFonts w:ascii="Calibri" w:hAnsi="Calibri"/>
                <w:b w:val="0"/>
                <w:i w:val="0"/>
                <w:sz w:val="17"/>
              </w:rPr>
              <w:t>Disk yuvası sayısı, desteklenen RAID düzenleri ve azami kapasite belirtilmiş, diskler ayrı satır</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25</w:t>
            </w:r>
          </w:p>
        </w:tc>
        <w:tc>
          <w:tcPr>
            <w:tcW w:type="dxa" w:w="2438"/>
          </w:tcPr>
          <w:p>
            <w:pPr>
              <w:spacing w:after="40" w:before="40"/>
            </w:pPr>
            <w:r>
              <w:rPr>
                <w:rFonts w:ascii="Calibri" w:hAnsi="Calibri"/>
                <w:b/>
                <w:i w:val="0"/>
                <w:sz w:val="17"/>
              </w:rPr>
              <w:t>Tablet</w:t>
            </w:r>
          </w:p>
        </w:tc>
        <w:tc>
          <w:tcPr>
            <w:tcW w:type="dxa" w:w="4762"/>
          </w:tcPr>
          <w:p>
            <w:pPr>
              <w:spacing w:after="40" w:before="40"/>
            </w:pPr>
            <w:r>
              <w:rPr>
                <w:rFonts w:ascii="Calibri" w:hAnsi="Calibri"/>
                <w:b w:val="0"/>
                <w:i w:val="0"/>
                <w:sz w:val="17"/>
              </w:rPr>
              <w:t>Ekran boyutu, depolama ve bağlantı (Wi-Fi / hücresel) belirtilmiş, kalem ve klavye kılıfı ayrı satır</w:t>
            </w:r>
          </w:p>
        </w:tc>
        <w:tc>
          <w:tcPr>
            <w:tcW w:type="dxa" w:w="850"/>
          </w:tcPr>
          <w:p>
            <w:pPr>
              <w:spacing w:after="40" w:before="40"/>
              <w:jc w:val="center"/>
            </w:pPr>
            <w:r>
              <w:rPr>
                <w:rFonts w:ascii="Calibri" w:hAnsi="Calibri"/>
                <w:b w:val="0"/>
                <w:i w:val="0"/>
                <w:sz w:val="17"/>
              </w:rPr>
              <w:t>Adet</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26</w:t>
            </w:r>
          </w:p>
        </w:tc>
        <w:tc>
          <w:tcPr>
            <w:tcW w:type="dxa" w:w="2438"/>
            <w:shd w:val="clear" w:fill="F4F8FC"/>
          </w:tcPr>
          <w:p>
            <w:pPr>
              <w:spacing w:after="40" w:before="40"/>
            </w:pPr>
            <w:r>
              <w:rPr>
                <w:rFonts w:ascii="Calibri" w:hAnsi="Calibri"/>
                <w:b/>
                <w:i w:val="0"/>
                <w:sz w:val="17"/>
              </w:rPr>
              <w:t>Projeksiyon / sunum sunucusu</w:t>
            </w:r>
          </w:p>
        </w:tc>
        <w:tc>
          <w:tcPr>
            <w:tcW w:type="dxa" w:w="4762"/>
            <w:shd w:val="clear" w:fill="F4F8FC"/>
          </w:tcPr>
          <w:p>
            <w:pPr>
              <w:spacing w:after="40" w:before="40"/>
            </w:pPr>
            <w:r>
              <w:rPr>
                <w:rFonts w:ascii="Calibri" w:hAnsi="Calibri"/>
                <w:b w:val="0"/>
                <w:i w:val="0"/>
                <w:sz w:val="17"/>
              </w:rPr>
              <w:t>Kablosuz ekran paylaşımı, eşzamanlı kullanıcı sayısı ve desteklenen protokoller belirtilmiş</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r>
        <w:tc>
          <w:tcPr>
            <w:tcW w:type="dxa" w:w="737"/>
          </w:tcPr>
          <w:p>
            <w:pPr>
              <w:spacing w:after="40" w:before="40"/>
              <w:jc w:val="center"/>
            </w:pPr>
            <w:r>
              <w:rPr>
                <w:rFonts w:ascii="Calibri" w:hAnsi="Calibri"/>
                <w:b w:val="0"/>
                <w:i w:val="0"/>
                <w:sz w:val="17"/>
              </w:rPr>
              <w:t>27</w:t>
            </w:r>
          </w:p>
        </w:tc>
        <w:tc>
          <w:tcPr>
            <w:tcW w:type="dxa" w:w="2438"/>
          </w:tcPr>
          <w:p>
            <w:pPr>
              <w:spacing w:after="40" w:before="40"/>
            </w:pPr>
            <w:r>
              <w:rPr>
                <w:rFonts w:ascii="Calibri" w:hAnsi="Calibri"/>
                <w:b/>
                <w:i w:val="0"/>
                <w:sz w:val="17"/>
              </w:rPr>
              <w:t>Bilgisayar temizlik seti</w:t>
            </w:r>
          </w:p>
        </w:tc>
        <w:tc>
          <w:tcPr>
            <w:tcW w:type="dxa" w:w="4762"/>
          </w:tcPr>
          <w:p>
            <w:pPr>
              <w:spacing w:after="40" w:before="40"/>
            </w:pPr>
            <w:r>
              <w:rPr>
                <w:rFonts w:ascii="Calibri" w:hAnsi="Calibri"/>
                <w:b w:val="0"/>
                <w:i w:val="0"/>
                <w:sz w:val="17"/>
              </w:rPr>
              <w:t>Basınçlı hava, ekran temizleme sıvısı ve mikrofiber bez; ekran kaplamasına zarar vermeyen, alkolsüz formül</w:t>
            </w:r>
          </w:p>
        </w:tc>
        <w:tc>
          <w:tcPr>
            <w:tcW w:type="dxa" w:w="850"/>
          </w:tcPr>
          <w:p>
            <w:pPr>
              <w:spacing w:after="40" w:before="40"/>
              <w:jc w:val="center"/>
            </w:pPr>
            <w:r>
              <w:rPr>
                <w:rFonts w:ascii="Calibri" w:hAnsi="Calibri"/>
                <w:b w:val="0"/>
                <w:i w:val="0"/>
                <w:sz w:val="17"/>
              </w:rPr>
              <w:t>Takım</w:t>
            </w:r>
          </w:p>
        </w:tc>
        <w:tc>
          <w:tcPr>
            <w:tcW w:type="dxa" w:w="850"/>
          </w:tcPr>
          <w:p>
            <w:pPr>
              <w:spacing w:after="40" w:before="40"/>
              <w:jc w:val="center"/>
            </w:pPr>
            <w:r>
              <w:rPr>
                <w:rFonts w:ascii="Calibri" w:hAnsi="Calibri"/>
                <w:b w:val="0"/>
                <w:i w:val="0"/>
                <w:sz w:val="17"/>
              </w:rPr>
            </w:r>
          </w:p>
        </w:tc>
      </w:tr>
      <w:tr>
        <w:tc>
          <w:tcPr>
            <w:tcW w:type="dxa" w:w="737"/>
            <w:shd w:val="clear" w:fill="F4F8FC"/>
          </w:tcPr>
          <w:p>
            <w:pPr>
              <w:spacing w:after="40" w:before="40"/>
              <w:jc w:val="center"/>
            </w:pPr>
            <w:r>
              <w:rPr>
                <w:rFonts w:ascii="Calibri" w:hAnsi="Calibri"/>
                <w:b w:val="0"/>
                <w:i w:val="0"/>
                <w:sz w:val="17"/>
              </w:rPr>
              <w:t>28</w:t>
            </w:r>
          </w:p>
        </w:tc>
        <w:tc>
          <w:tcPr>
            <w:tcW w:type="dxa" w:w="2438"/>
            <w:shd w:val="clear" w:fill="F4F8FC"/>
          </w:tcPr>
          <w:p>
            <w:pPr>
              <w:spacing w:after="40" w:before="40"/>
            </w:pPr>
            <w:r>
              <w:rPr>
                <w:rFonts w:ascii="Calibri" w:hAnsi="Calibri"/>
                <w:b/>
                <w:i w:val="0"/>
                <w:sz w:val="17"/>
              </w:rPr>
              <w:t>Ekran gizlilik filtresi</w:t>
            </w:r>
          </w:p>
        </w:tc>
        <w:tc>
          <w:tcPr>
            <w:tcW w:type="dxa" w:w="4762"/>
            <w:shd w:val="clear" w:fill="F4F8FC"/>
          </w:tcPr>
          <w:p>
            <w:pPr>
              <w:spacing w:after="40" w:before="40"/>
            </w:pPr>
            <w:r>
              <w:rPr>
                <w:rFonts w:ascii="Calibri" w:hAnsi="Calibri"/>
                <w:b w:val="0"/>
                <w:i w:val="0"/>
                <w:sz w:val="17"/>
              </w:rPr>
              <w:t>Ekran ölçüsüne uygun, yandan görüş açısını daraltan, çıkarılabilir montaj</w:t>
            </w:r>
          </w:p>
        </w:tc>
        <w:tc>
          <w:tcPr>
            <w:tcW w:type="dxa" w:w="850"/>
            <w:shd w:val="clear" w:fill="F4F8FC"/>
          </w:tcPr>
          <w:p>
            <w:pPr>
              <w:spacing w:after="40" w:before="40"/>
              <w:jc w:val="center"/>
            </w:pPr>
            <w:r>
              <w:rPr>
                <w:rFonts w:ascii="Calibri" w:hAnsi="Calibri"/>
                <w:b w:val="0"/>
                <w:i w:val="0"/>
                <w:sz w:val="17"/>
              </w:rPr>
              <w:t>Adet</w:t>
            </w:r>
          </w:p>
        </w:tc>
        <w:tc>
          <w:tcPr>
            <w:tcW w:type="dxa" w:w="850"/>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Onay</w:t>
      </w:r>
    </w:p>
    <w:p>
      <w:pPr>
        <w:spacing w:after="280" w:before="0"/>
      </w:pPr>
      <w:r>
        <w:rPr>
          <w:rFonts w:ascii="Calibri" w:hAnsi="Calibri"/>
          <w:b w:val="0"/>
          <w:i w:val="0"/>
          <w:sz w:val="20"/>
        </w:rPr>
        <w:t>Bu teknik şartname … sayfa ve … maddeden ibaret olup, aşağıda adı geçenler tarafından düzenlenmiş ve imzalanmıştır.</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Düzenleyen</w:t>
            </w:r>
          </w:p>
        </w:tc>
        <w:tc>
          <w:tcPr>
            <w:tcW w:type="dxa" w:w="3175"/>
            <w:shd w:val="clear" w:fill="F4F8FC"/>
          </w:tcPr>
          <w:p>
            <w:pPr>
              <w:spacing w:after="80"/>
            </w:pPr>
            <w:r>
              <w:rPr>
                <w:rFonts w:ascii="Calibri" w:hAnsi="Calibri"/>
                <w:b/>
                <w:i w:val="0"/>
                <w:color w:val="1F2937"/>
                <w:sz w:val="19"/>
              </w:rPr>
              <w:t>Kontrol eden</w:t>
            </w:r>
          </w:p>
        </w:tc>
        <w:tc>
          <w:tcPr>
            <w:tcW w:type="dxa" w:w="3175"/>
            <w:shd w:val="clear" w:fill="F4F8FC"/>
          </w:tcPr>
          <w:p>
            <w:pPr>
              <w:spacing w:after="80"/>
            </w:pPr>
            <w:r>
              <w:rPr>
                <w:rFonts w:ascii="Calibri" w:hAnsi="Calibri"/>
                <w:b/>
                <w:i w:val="0"/>
                <w:color w:val="1F2937"/>
                <w:sz w:val="19"/>
              </w:rPr>
              <w:t>Onaylayan</w:t>
            </w:r>
          </w:p>
        </w:tc>
      </w:tr>
      <w:tr>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c>
          <w:tcPr>
            <w:tcW w:type="dxa" w:w="3175"/>
          </w:tcPr>
          <w:p>
            <w:pPr>
              <w:spacing w:after="80"/>
            </w:pPr>
            <w:r>
              <w:rPr>
                <w:rFonts w:ascii="Calibri" w:hAnsi="Calibri"/>
                <w:b w:val="0"/>
                <w:i w:val="0"/>
                <w:sz w:val="19"/>
              </w:rPr>
              <w:t>Adı Soyadı: …</w:t>
            </w:r>
          </w:p>
        </w:tc>
      </w:tr>
      <w:tr>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c>
          <w:tcPr>
            <w:tcW w:type="dxa" w:w="3175"/>
          </w:tcPr>
          <w:p>
            <w:pPr>
              <w:spacing w:after="80"/>
            </w:pPr>
            <w:r>
              <w:rPr>
                <w:rFonts w:ascii="Calibri" w:hAnsi="Calibri"/>
                <w:b w:val="0"/>
                <w:i w:val="0"/>
                <w:sz w:val="19"/>
              </w:rPr>
              <w:t>Unvanı: …</w:t>
            </w:r>
          </w:p>
        </w:tc>
      </w:tr>
      <w:tr>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c>
          <w:tcPr>
            <w:tcW w:type="dxa" w:w="3175"/>
          </w:tcPr>
          <w:p>
            <w:pPr>
              <w:spacing w:after="80"/>
            </w:pPr>
            <w:r>
              <w:rPr>
                <w:rFonts w:ascii="Calibri" w:hAnsi="Calibri"/>
                <w:b w:val="0"/>
                <w:i w:val="0"/>
                <w:sz w:val="19"/>
              </w:rPr>
              <w:t>İmza:</w:t>
            </w:r>
          </w:p>
        </w:tc>
      </w:tr>
    </w:tbl>
    <w:p>
      <w:pPr>
        <w:spacing w:after="240" w:before="0"/>
      </w:pPr>
    </w:p>
    <w:p>
      <w:pPr>
        <w:spacing w:after="160" w:before="0"/>
      </w:pPr>
      <w:r>
        <w:rPr>
          <w:rFonts w:ascii="Calibri" w:hAnsi="Calibri"/>
          <w:b w:val="0"/>
          <w:i/>
          <w:color w:val="5F7891"/>
          <w:sz w:val="17"/>
        </w:rPr>
        <w:t>Bu şablon genel amaçlı bir örnektir; kurumunuzun ihtiyaç ve mevzuat gereklerine göre uyarlanmalıdır. Nokta nokta (…) bırakılan alanlar idare tarafından doldurulur. 4734 sayılı Kamu İhale Kanunu'nun 12 nci maddesi, belirlenecek teknik kriterlerin verimliliği ve fonksiyonelliği sağlamaya yönelik olmasını, rekabeti engelleyici hususlar içermemesini ve bütün istekliler için fırsat eşitliği sağlamasını arar. Yürürlükteki mevzuat metnini esas alın.</w:t>
      </w:r>
    </w:p>
    <w:p>
      <w:pPr>
        <w:spacing w:after="120" w:before="0"/>
      </w:pPr>
      <w:r>
        <w:rPr>
          <w:rFonts w:ascii="Calibri" w:hAnsi="Calibri"/>
          <w:b w:val="0"/>
          <w:i w:val="0"/>
          <w:color w:val="5F7891"/>
          <w:sz w:val="16"/>
        </w:rPr>
        <w:t>Şablon: AKSCO Ticaret ve Tedarik · https://aksco.com.tr · 0534 335 69 22 · Sürüm 2026-09-25 · Ücretsiz, kayıt gerektirmez</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