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OFIS BITKISI, SAKSI VE PEYZAJ</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Ofis Bitkisi, Saksı ve Peyzaj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ofis bitkisi, saksı ve peyzaj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20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İç mekân bitkisi, büyük boy</w:t>
            </w:r>
          </w:p>
        </w:tc>
        <w:tc>
          <w:tcPr>
            <w:tcW w:type="dxa" w:w="4762"/>
          </w:tcPr>
          <w:p>
            <w:pPr>
              <w:spacing w:after="40" w:before="40"/>
            </w:pPr>
            <w:r>
              <w:rPr>
                <w:rFonts w:ascii="Calibri" w:hAnsi="Calibri"/>
                <w:b w:val="0"/>
                <w:i w:val="0"/>
                <w:sz w:val="17"/>
              </w:rPr>
              <w:t>Bitki boyu 120–180 cm, saksı çapı belirtilmiş, düşük ışık toleransı ve sulama sıklığı bilgi kartıyla teslim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İç mekân bitkisi, orta boy</w:t>
            </w:r>
          </w:p>
        </w:tc>
        <w:tc>
          <w:tcPr>
            <w:tcW w:type="dxa" w:w="4762"/>
            <w:shd w:val="clear" w:fill="F4F8FC"/>
          </w:tcPr>
          <w:p>
            <w:pPr>
              <w:spacing w:after="40" w:before="40"/>
            </w:pPr>
            <w:r>
              <w:rPr>
                <w:rFonts w:ascii="Calibri" w:hAnsi="Calibri"/>
                <w:b w:val="0"/>
                <w:i w:val="0"/>
                <w:sz w:val="17"/>
              </w:rPr>
              <w:t>Bitki boyu 60–120 cm, masa yanı veya köşe kullanımı, saksı ve iç kova dahil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Masaüstü bitki</w:t>
            </w:r>
          </w:p>
        </w:tc>
        <w:tc>
          <w:tcPr>
            <w:tcW w:type="dxa" w:w="4762"/>
          </w:tcPr>
          <w:p>
            <w:pPr>
              <w:spacing w:after="40" w:before="40"/>
            </w:pPr>
            <w:r>
              <w:rPr>
                <w:rFonts w:ascii="Calibri" w:hAnsi="Calibri"/>
                <w:b w:val="0"/>
                <w:i w:val="0"/>
                <w:sz w:val="17"/>
              </w:rPr>
              <w:t>Bitki boyu 15–40 cm, saksı çapı 10–15 cm, sukulent veya düşük bakım türleri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Yapay bitki, büyük boy</w:t>
            </w:r>
          </w:p>
        </w:tc>
        <w:tc>
          <w:tcPr>
            <w:tcW w:type="dxa" w:w="4762"/>
            <w:shd w:val="clear" w:fill="F4F8FC"/>
          </w:tcPr>
          <w:p>
            <w:pPr>
              <w:spacing w:after="40" w:before="40"/>
            </w:pPr>
            <w:r>
              <w:rPr>
                <w:rFonts w:ascii="Calibri" w:hAnsi="Calibri"/>
                <w:b w:val="0"/>
                <w:i w:val="0"/>
                <w:sz w:val="17"/>
              </w:rPr>
              <w:t>Boy 120–200 cm, UV dayanımlı seçenek, gövde doğal ahşap, yangın geciktirici uygulanmış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Yapay bitki, masaüstü</w:t>
            </w:r>
          </w:p>
        </w:tc>
        <w:tc>
          <w:tcPr>
            <w:tcW w:type="dxa" w:w="4762"/>
          </w:tcPr>
          <w:p>
            <w:pPr>
              <w:spacing w:after="40" w:before="40"/>
            </w:pPr>
            <w:r>
              <w:rPr>
                <w:rFonts w:ascii="Calibri" w:hAnsi="Calibri"/>
                <w:b w:val="0"/>
                <w:i w:val="0"/>
                <w:sz w:val="17"/>
              </w:rPr>
              <w:t>Boy 20–50 cm, saksısı dahil, toz almaya uygun malzeme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Yapay yeşil duvar paneli</w:t>
            </w:r>
          </w:p>
        </w:tc>
        <w:tc>
          <w:tcPr>
            <w:tcW w:type="dxa" w:w="4762"/>
            <w:shd w:val="clear" w:fill="F4F8FC"/>
          </w:tcPr>
          <w:p>
            <w:pPr>
              <w:spacing w:after="40" w:before="40"/>
            </w:pPr>
            <w:r>
              <w:rPr>
                <w:rFonts w:ascii="Calibri" w:hAnsi="Calibri"/>
                <w:b w:val="0"/>
                <w:i w:val="0"/>
                <w:sz w:val="17"/>
              </w:rPr>
              <w:t>50×50 cm panel, birleştirilebilir, UV dayanımlı, yangın geciktirici seçenek, m² başına panel adedi verilir</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Canlı yeşil duvar sistemi</w:t>
            </w:r>
          </w:p>
        </w:tc>
        <w:tc>
          <w:tcPr>
            <w:tcW w:type="dxa" w:w="4762"/>
          </w:tcPr>
          <w:p>
            <w:pPr>
              <w:spacing w:after="40" w:before="40"/>
            </w:pPr>
            <w:r>
              <w:rPr>
                <w:rFonts w:ascii="Calibri" w:hAnsi="Calibri"/>
                <w:b w:val="0"/>
                <w:i w:val="0"/>
                <w:sz w:val="17"/>
              </w:rPr>
              <w:t>Modüler kaset, sulama hattı ve drenaj dahil; aydınlatma ve bakım sözleşmesi ayrı satır</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Kurumsal saksı, silindir</w:t>
            </w:r>
          </w:p>
        </w:tc>
        <w:tc>
          <w:tcPr>
            <w:tcW w:type="dxa" w:w="4762"/>
            <w:shd w:val="clear" w:fill="F4F8FC"/>
          </w:tcPr>
          <w:p>
            <w:pPr>
              <w:spacing w:after="40" w:before="40"/>
            </w:pPr>
            <w:r>
              <w:rPr>
                <w:rFonts w:ascii="Calibri" w:hAnsi="Calibri"/>
                <w:b w:val="0"/>
                <w:i w:val="0"/>
                <w:sz w:val="17"/>
              </w:rPr>
              <w:t>Fiberglas veya polietilen, çap ve yükseklik belirtilmiş, drenaj delikli, iç kova seçenekli, mat veya parlak yüzey</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Kurumsal saksı, kare/prizma</w:t>
            </w:r>
          </w:p>
        </w:tc>
        <w:tc>
          <w:tcPr>
            <w:tcW w:type="dxa" w:w="4762"/>
          </w:tcPr>
          <w:p>
            <w:pPr>
              <w:spacing w:after="40" w:before="40"/>
            </w:pPr>
            <w:r>
              <w:rPr>
                <w:rFonts w:ascii="Calibri" w:hAnsi="Calibri"/>
                <w:b w:val="0"/>
                <w:i w:val="0"/>
                <w:sz w:val="17"/>
              </w:rPr>
              <w:t>Fiberglas veya polietilen, ölçü belirtilmiş, RAL renk seçimi mümkün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Bölme saksısı (uzun dikdörtgen)</w:t>
            </w:r>
          </w:p>
        </w:tc>
        <w:tc>
          <w:tcPr>
            <w:tcW w:type="dxa" w:w="4762"/>
            <w:shd w:val="clear" w:fill="F4F8FC"/>
          </w:tcPr>
          <w:p>
            <w:pPr>
              <w:spacing w:after="40" w:before="40"/>
            </w:pPr>
            <w:r>
              <w:rPr>
                <w:rFonts w:ascii="Calibri" w:hAnsi="Calibri"/>
                <w:b w:val="0"/>
                <w:i w:val="0"/>
                <w:sz w:val="17"/>
              </w:rPr>
              <w:t>Açık ofis bölmelemesi için, uzunluk ve derinlik belirtilmiş, tekerlekli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Saksı iç kovası ve drenaj tabanı</w:t>
            </w:r>
          </w:p>
        </w:tc>
        <w:tc>
          <w:tcPr>
            <w:tcW w:type="dxa" w:w="4762"/>
          </w:tcPr>
          <w:p>
            <w:pPr>
              <w:spacing w:after="40" w:before="40"/>
            </w:pPr>
            <w:r>
              <w:rPr>
                <w:rFonts w:ascii="Calibri" w:hAnsi="Calibri"/>
                <w:b w:val="0"/>
                <w:i w:val="0"/>
                <w:sz w:val="17"/>
              </w:rPr>
              <w:t>Saksı çapına uygun, su tahliyeli, kök havalandırmalı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Kendinden sulamalı saksı</w:t>
            </w:r>
          </w:p>
        </w:tc>
        <w:tc>
          <w:tcPr>
            <w:tcW w:type="dxa" w:w="4762"/>
            <w:shd w:val="clear" w:fill="F4F8FC"/>
          </w:tcPr>
          <w:p>
            <w:pPr>
              <w:spacing w:after="40" w:before="40"/>
            </w:pPr>
            <w:r>
              <w:rPr>
                <w:rFonts w:ascii="Calibri" w:hAnsi="Calibri"/>
                <w:b w:val="0"/>
                <w:i w:val="0"/>
                <w:sz w:val="17"/>
              </w:rPr>
              <w:t>Su haznesi hacmi ve seviye göstergesi belirtilmiş, iki-üç haftalık sulama aralığı sağlar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Bitki toprağı ve drenaj malzemesi</w:t>
            </w:r>
          </w:p>
        </w:tc>
        <w:tc>
          <w:tcPr>
            <w:tcW w:type="dxa" w:w="4762"/>
          </w:tcPr>
          <w:p>
            <w:pPr>
              <w:spacing w:after="40" w:before="40"/>
            </w:pPr>
            <w:r>
              <w:rPr>
                <w:rFonts w:ascii="Calibri" w:hAnsi="Calibri"/>
                <w:b w:val="0"/>
                <w:i w:val="0"/>
                <w:sz w:val="17"/>
              </w:rPr>
              <w:t>İç mekân bitkisi için hazır harç, perlit ve drenaj taşı; ambalaj hacmi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Bitki besini ve gübre</w:t>
            </w:r>
          </w:p>
        </w:tc>
        <w:tc>
          <w:tcPr>
            <w:tcW w:type="dxa" w:w="4762"/>
            <w:shd w:val="clear" w:fill="F4F8FC"/>
          </w:tcPr>
          <w:p>
            <w:pPr>
              <w:spacing w:after="40" w:before="40"/>
            </w:pPr>
            <w:r>
              <w:rPr>
                <w:rFonts w:ascii="Calibri" w:hAnsi="Calibri"/>
                <w:b w:val="0"/>
                <w:i w:val="0"/>
                <w:sz w:val="17"/>
              </w:rPr>
              <w:t>Sıvı veya çubuk, iç mekân bitkisi için, uygulama sıklığı etikette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Dekoratif yüzey malzemesi</w:t>
            </w:r>
          </w:p>
        </w:tc>
        <w:tc>
          <w:tcPr>
            <w:tcW w:type="dxa" w:w="4762"/>
          </w:tcPr>
          <w:p>
            <w:pPr>
              <w:spacing w:after="40" w:before="40"/>
            </w:pPr>
            <w:r>
              <w:rPr>
                <w:rFonts w:ascii="Calibri" w:hAnsi="Calibri"/>
                <w:b w:val="0"/>
                <w:i w:val="0"/>
                <w:sz w:val="17"/>
              </w:rPr>
              <w:t>Saksı üstü için dekoratif taş, yosun veya ağaç kabuğu; ambalaj hacmi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Bitki bakım hizmeti (periyodik)</w:t>
            </w:r>
          </w:p>
        </w:tc>
        <w:tc>
          <w:tcPr>
            <w:tcW w:type="dxa" w:w="4762"/>
            <w:shd w:val="clear" w:fill="F4F8FC"/>
          </w:tcPr>
          <w:p>
            <w:pPr>
              <w:spacing w:after="40" w:before="40"/>
            </w:pPr>
            <w:r>
              <w:rPr>
                <w:rFonts w:ascii="Calibri" w:hAnsi="Calibri"/>
                <w:b w:val="0"/>
                <w:i w:val="0"/>
                <w:sz w:val="17"/>
              </w:rPr>
              <w:t>Aylık veya iki haftalık ziyaret; sulama, budama, yaprak temizliği, gübreleme ve ölen bitkinin değişimi kapsam içinde belirtilir</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Bitki kiralama</w:t>
            </w:r>
          </w:p>
        </w:tc>
        <w:tc>
          <w:tcPr>
            <w:tcW w:type="dxa" w:w="4762"/>
          </w:tcPr>
          <w:p>
            <w:pPr>
              <w:spacing w:after="40" w:before="40"/>
            </w:pPr>
            <w:r>
              <w:rPr>
                <w:rFonts w:ascii="Calibri" w:hAnsi="Calibri"/>
                <w:b w:val="0"/>
                <w:i w:val="0"/>
                <w:sz w:val="17"/>
              </w:rPr>
              <w:t>Bitki mülkiyeti tedarikçide kalır; aylık bedel bakım ve değişimi kapsar, sözleşme süresi belirtilir</w:t>
            </w:r>
          </w:p>
        </w:tc>
        <w:tc>
          <w:tcPr>
            <w:tcW w:type="dxa" w:w="850"/>
          </w:tcPr>
          <w:p>
            <w:pPr>
              <w:spacing w:after="40" w:before="40"/>
              <w:jc w:val="center"/>
            </w:pPr>
            <w:r>
              <w:rPr>
                <w:rFonts w:ascii="Calibri" w:hAnsi="Calibri"/>
                <w:b w:val="0"/>
                <w:i w:val="0"/>
                <w:sz w:val="17"/>
              </w:rPr>
              <w:t>Hizmet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Bitki yerleşim planı ve keşif</w:t>
            </w:r>
          </w:p>
        </w:tc>
        <w:tc>
          <w:tcPr>
            <w:tcW w:type="dxa" w:w="4762"/>
            <w:shd w:val="clear" w:fill="F4F8FC"/>
          </w:tcPr>
          <w:p>
            <w:pPr>
              <w:spacing w:after="40" w:before="40"/>
            </w:pPr>
            <w:r>
              <w:rPr>
                <w:rFonts w:ascii="Calibri" w:hAnsi="Calibri"/>
                <w:b w:val="0"/>
                <w:i w:val="0"/>
                <w:sz w:val="17"/>
              </w:rPr>
              <w:t>Işık ölçümü, tür seçimi ve yerleşim önerisi; uygulama öncesi adım, görsel plan ile teslim</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Sulama ekipmanı</w:t>
            </w:r>
          </w:p>
        </w:tc>
        <w:tc>
          <w:tcPr>
            <w:tcW w:type="dxa" w:w="4762"/>
          </w:tcPr>
          <w:p>
            <w:pPr>
              <w:spacing w:after="40" w:before="40"/>
            </w:pPr>
            <w:r>
              <w:rPr>
                <w:rFonts w:ascii="Calibri" w:hAnsi="Calibri"/>
                <w:b w:val="0"/>
                <w:i w:val="0"/>
                <w:sz w:val="17"/>
              </w:rPr>
              <w:t>Uzun ağızlı sulama kabı, pülverizatör ve nem ölçer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Saksı taşıma arabası ve altlık</w:t>
            </w:r>
          </w:p>
        </w:tc>
        <w:tc>
          <w:tcPr>
            <w:tcW w:type="dxa" w:w="4762"/>
            <w:shd w:val="clear" w:fill="F4F8FC"/>
          </w:tcPr>
          <w:p>
            <w:pPr>
              <w:spacing w:after="40" w:before="40"/>
            </w:pPr>
            <w:r>
              <w:rPr>
                <w:rFonts w:ascii="Calibri" w:hAnsi="Calibri"/>
                <w:b w:val="0"/>
                <w:i w:val="0"/>
                <w:sz w:val="17"/>
              </w:rPr>
              <w:t>Tekerlekli altlık, taşıma kapasitesi belirtilmiş, zemin çizmeyen tekerlek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