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PAINT AND PAINTING ANCILLARIES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Paint and Painting Ancillaries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paint and painting ancillaries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31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Interior emulsion paint</w:t>
            </w:r>
          </w:p>
        </w:tc>
        <w:tc>
          <w:tcPr>
            <w:tcW w:type="dxa" w:w="4762"/>
          </w:tcPr>
          <w:p>
            <w:pPr>
              <w:spacing w:after="40" w:before="40"/>
            </w:pPr>
            <w:r>
              <w:rPr>
                <w:rFonts w:ascii="Calibri" w:hAnsi="Calibri"/>
                <w:b w:val="0"/>
                <w:i w:val="0"/>
                <w:sz w:val="17"/>
              </w:rPr>
              <w:t>Wet scrub class and spreading rate in m²/L stated</w:t>
            </w:r>
          </w:p>
        </w:tc>
        <w:tc>
          <w:tcPr>
            <w:tcW w:type="dxa" w:w="907"/>
          </w:tcPr>
          <w:p>
            <w:pPr>
              <w:spacing w:after="40" w:before="40"/>
              <w:jc w:val="center"/>
            </w:pPr>
            <w:r>
              <w:rPr>
                <w:rFonts w:ascii="Calibri" w:hAnsi="Calibri"/>
                <w:b w:val="0"/>
                <w:i w:val="0"/>
                <w:sz w:val="17"/>
              </w:rPr>
              <w:t>Pail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Interior satin paint</w:t>
            </w:r>
          </w:p>
        </w:tc>
        <w:tc>
          <w:tcPr>
            <w:tcW w:type="dxa" w:w="4762"/>
            <w:shd w:val="clear" w:fill="F4F8FC"/>
          </w:tcPr>
          <w:p>
            <w:pPr>
              <w:spacing w:after="40" w:before="40"/>
            </w:pPr>
            <w:r>
              <w:rPr>
                <w:rFonts w:ascii="Calibri" w:hAnsi="Calibri"/>
                <w:b w:val="0"/>
                <w:i w:val="0"/>
                <w:sz w:val="17"/>
              </w:rPr>
              <w:t>Wet scrub class, sheen level and spreading rate stated</w:t>
            </w:r>
          </w:p>
        </w:tc>
        <w:tc>
          <w:tcPr>
            <w:tcW w:type="dxa" w:w="907"/>
            <w:shd w:val="clear" w:fill="F4F8FC"/>
          </w:tcPr>
          <w:p>
            <w:pPr>
              <w:spacing w:after="40" w:before="40"/>
              <w:jc w:val="center"/>
            </w:pPr>
            <w:r>
              <w:rPr>
                <w:rFonts w:ascii="Calibri" w:hAnsi="Calibri"/>
                <w:b w:val="0"/>
                <w:i w:val="0"/>
                <w:sz w:val="17"/>
              </w:rPr>
              <w:t>Pail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Ceiling paint</w:t>
            </w:r>
          </w:p>
        </w:tc>
        <w:tc>
          <w:tcPr>
            <w:tcW w:type="dxa" w:w="4762"/>
          </w:tcPr>
          <w:p>
            <w:pPr>
              <w:spacing w:after="40" w:before="40"/>
            </w:pPr>
            <w:r>
              <w:rPr>
                <w:rFonts w:ascii="Calibri" w:hAnsi="Calibri"/>
                <w:b w:val="0"/>
                <w:i w:val="0"/>
                <w:sz w:val="17"/>
              </w:rPr>
              <w:t>Matt finish; opacity class and spreading rate stated</w:t>
            </w:r>
          </w:p>
        </w:tc>
        <w:tc>
          <w:tcPr>
            <w:tcW w:type="dxa" w:w="907"/>
          </w:tcPr>
          <w:p>
            <w:pPr>
              <w:spacing w:after="40" w:before="40"/>
              <w:jc w:val="center"/>
            </w:pPr>
            <w:r>
              <w:rPr>
                <w:rFonts w:ascii="Calibri" w:hAnsi="Calibri"/>
                <w:b w:val="0"/>
                <w:i w:val="0"/>
                <w:sz w:val="17"/>
              </w:rPr>
              <w:t>Pail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Exterior acrylic paint</w:t>
            </w:r>
          </w:p>
        </w:tc>
        <w:tc>
          <w:tcPr>
            <w:tcW w:type="dxa" w:w="4762"/>
            <w:shd w:val="clear" w:fill="F4F8FC"/>
          </w:tcPr>
          <w:p>
            <w:pPr>
              <w:spacing w:after="40" w:before="40"/>
            </w:pPr>
            <w:r>
              <w:rPr>
                <w:rFonts w:ascii="Calibri" w:hAnsi="Calibri"/>
                <w:b w:val="0"/>
                <w:i w:val="0"/>
                <w:sz w:val="17"/>
              </w:rPr>
              <w:t>Water vapour and liquid water transmission classes stated</w:t>
            </w:r>
          </w:p>
        </w:tc>
        <w:tc>
          <w:tcPr>
            <w:tcW w:type="dxa" w:w="907"/>
            <w:shd w:val="clear" w:fill="F4F8FC"/>
          </w:tcPr>
          <w:p>
            <w:pPr>
              <w:spacing w:after="40" w:before="40"/>
              <w:jc w:val="center"/>
            </w:pPr>
            <w:r>
              <w:rPr>
                <w:rFonts w:ascii="Calibri" w:hAnsi="Calibri"/>
                <w:b w:val="0"/>
                <w:i w:val="0"/>
                <w:sz w:val="17"/>
              </w:rPr>
              <w:t>Pail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Alkyd gloss paint</w:t>
            </w:r>
          </w:p>
        </w:tc>
        <w:tc>
          <w:tcPr>
            <w:tcW w:type="dxa" w:w="4762"/>
          </w:tcPr>
          <w:p>
            <w:pPr>
              <w:spacing w:after="40" w:before="40"/>
            </w:pPr>
            <w:r>
              <w:rPr>
                <w:rFonts w:ascii="Calibri" w:hAnsi="Calibri"/>
                <w:b w:val="0"/>
                <w:i w:val="0"/>
                <w:sz w:val="17"/>
              </w:rPr>
              <w:t>Solvent based; overcoat interval and spreading rate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Primer, interior</w:t>
            </w:r>
          </w:p>
        </w:tc>
        <w:tc>
          <w:tcPr>
            <w:tcW w:type="dxa" w:w="4762"/>
            <w:shd w:val="clear" w:fill="F4F8FC"/>
          </w:tcPr>
          <w:p>
            <w:pPr>
              <w:spacing w:after="40" w:before="40"/>
            </w:pPr>
            <w:r>
              <w:rPr>
                <w:rFonts w:ascii="Calibri" w:hAnsi="Calibri"/>
                <w:b w:val="0"/>
                <w:i w:val="0"/>
                <w:sz w:val="17"/>
              </w:rPr>
              <w:t>Water based; absorbency regulation and spreading rate</w:t>
            </w:r>
          </w:p>
        </w:tc>
        <w:tc>
          <w:tcPr>
            <w:tcW w:type="dxa" w:w="907"/>
            <w:shd w:val="clear" w:fill="F4F8FC"/>
          </w:tcPr>
          <w:p>
            <w:pPr>
              <w:spacing w:after="40" w:before="40"/>
              <w:jc w:val="center"/>
            </w:pPr>
            <w:r>
              <w:rPr>
                <w:rFonts w:ascii="Calibri" w:hAnsi="Calibri"/>
                <w:b w:val="0"/>
                <w:i w:val="0"/>
                <w:sz w:val="17"/>
              </w:rPr>
              <w:t>Pail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Primer, exterior</w:t>
            </w:r>
          </w:p>
        </w:tc>
        <w:tc>
          <w:tcPr>
            <w:tcW w:type="dxa" w:w="4762"/>
          </w:tcPr>
          <w:p>
            <w:pPr>
              <w:spacing w:after="40" w:before="40"/>
            </w:pPr>
            <w:r>
              <w:rPr>
                <w:rFonts w:ascii="Calibri" w:hAnsi="Calibri"/>
                <w:b w:val="0"/>
                <w:i w:val="0"/>
                <w:sz w:val="17"/>
              </w:rPr>
              <w:t>Binding primer; spreading rate and overcoat interval</w:t>
            </w:r>
          </w:p>
        </w:tc>
        <w:tc>
          <w:tcPr>
            <w:tcW w:type="dxa" w:w="907"/>
          </w:tcPr>
          <w:p>
            <w:pPr>
              <w:spacing w:after="40" w:before="40"/>
              <w:jc w:val="center"/>
            </w:pPr>
            <w:r>
              <w:rPr>
                <w:rFonts w:ascii="Calibri" w:hAnsi="Calibri"/>
                <w:b w:val="0"/>
                <w:i w:val="0"/>
                <w:sz w:val="17"/>
              </w:rPr>
              <w:t>Pail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Anti-corrosive primer</w:t>
            </w:r>
          </w:p>
        </w:tc>
        <w:tc>
          <w:tcPr>
            <w:tcW w:type="dxa" w:w="4762"/>
            <w:shd w:val="clear" w:fill="F4F8FC"/>
          </w:tcPr>
          <w:p>
            <w:pPr>
              <w:spacing w:after="40" w:before="40"/>
            </w:pPr>
            <w:r>
              <w:rPr>
                <w:rFonts w:ascii="Calibri" w:hAnsi="Calibri"/>
                <w:b w:val="0"/>
                <w:i w:val="0"/>
                <w:sz w:val="17"/>
              </w:rPr>
              <w:t>For steel; dry film thickness and overcoat interval stated</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Epoxy floor paint</w:t>
            </w:r>
          </w:p>
        </w:tc>
        <w:tc>
          <w:tcPr>
            <w:tcW w:type="dxa" w:w="4762"/>
          </w:tcPr>
          <w:p>
            <w:pPr>
              <w:spacing w:after="40" w:before="40"/>
            </w:pPr>
            <w:r>
              <w:rPr>
                <w:rFonts w:ascii="Calibri" w:hAnsi="Calibri"/>
                <w:b w:val="0"/>
                <w:i w:val="0"/>
                <w:sz w:val="17"/>
              </w:rPr>
              <w:t>Two component; coats, dry film thickness and pot life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Road and yard line marking paint</w:t>
            </w:r>
          </w:p>
        </w:tc>
        <w:tc>
          <w:tcPr>
            <w:tcW w:type="dxa" w:w="4762"/>
            <w:shd w:val="clear" w:fill="F4F8FC"/>
          </w:tcPr>
          <w:p>
            <w:pPr>
              <w:spacing w:after="40" w:before="40"/>
            </w:pPr>
            <w:r>
              <w:rPr>
                <w:rFonts w:ascii="Calibri" w:hAnsi="Calibri"/>
                <w:b w:val="0"/>
                <w:i w:val="0"/>
                <w:sz w:val="17"/>
              </w:rPr>
              <w:t>Drying time and coverage per linear metre stated</w:t>
            </w:r>
          </w:p>
        </w:tc>
        <w:tc>
          <w:tcPr>
            <w:tcW w:type="dxa" w:w="907"/>
            <w:shd w:val="clear" w:fill="F4F8FC"/>
          </w:tcPr>
          <w:p>
            <w:pPr>
              <w:spacing w:after="40" w:before="40"/>
              <w:jc w:val="center"/>
            </w:pPr>
            <w:r>
              <w:rPr>
                <w:rFonts w:ascii="Calibri" w:hAnsi="Calibri"/>
                <w:b w:val="0"/>
                <w:i w:val="0"/>
                <w:sz w:val="17"/>
              </w:rPr>
              <w:t>Pail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Heat resistant paint</w:t>
            </w:r>
          </w:p>
        </w:tc>
        <w:tc>
          <w:tcPr>
            <w:tcW w:type="dxa" w:w="4762"/>
          </w:tcPr>
          <w:p>
            <w:pPr>
              <w:spacing w:after="40" w:before="40"/>
            </w:pPr>
            <w:r>
              <w:rPr>
                <w:rFonts w:ascii="Calibri" w:hAnsi="Calibri"/>
                <w:b w:val="0"/>
                <w:i w:val="0"/>
                <w:sz w:val="17"/>
              </w:rPr>
              <w:t>Maximum service temperature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Finishing plaster, powder</w:t>
            </w:r>
          </w:p>
        </w:tc>
        <w:tc>
          <w:tcPr>
            <w:tcW w:type="dxa" w:w="4762"/>
            <w:shd w:val="clear" w:fill="F4F8FC"/>
          </w:tcPr>
          <w:p>
            <w:pPr>
              <w:spacing w:after="40" w:before="40"/>
            </w:pPr>
            <w:r>
              <w:rPr>
                <w:rFonts w:ascii="Calibri" w:hAnsi="Calibri"/>
                <w:b w:val="0"/>
                <w:i w:val="0"/>
                <w:sz w:val="17"/>
              </w:rPr>
              <w:t>Mixing ratio, pot life and layer thickness stated</w:t>
            </w:r>
          </w:p>
        </w:tc>
        <w:tc>
          <w:tcPr>
            <w:tcW w:type="dxa" w:w="907"/>
            <w:shd w:val="clear" w:fill="F4F8FC"/>
          </w:tcPr>
          <w:p>
            <w:pPr>
              <w:spacing w:after="40" w:before="40"/>
              <w:jc w:val="center"/>
            </w:pPr>
            <w:r>
              <w:rPr>
                <w:rFonts w:ascii="Calibri" w:hAnsi="Calibri"/>
                <w:b w:val="0"/>
                <w:i w:val="0"/>
                <w:sz w:val="17"/>
              </w:rPr>
              <w:t>Bag</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Ready mixed filler</w:t>
            </w:r>
          </w:p>
        </w:tc>
        <w:tc>
          <w:tcPr>
            <w:tcW w:type="dxa" w:w="4762"/>
          </w:tcPr>
          <w:p>
            <w:pPr>
              <w:spacing w:after="40" w:before="40"/>
            </w:pPr>
            <w:r>
              <w:rPr>
                <w:rFonts w:ascii="Calibri" w:hAnsi="Calibri"/>
                <w:b w:val="0"/>
                <w:i w:val="0"/>
                <w:sz w:val="17"/>
              </w:rPr>
              <w:t>Layer thickness and drying time stated</w:t>
            </w:r>
          </w:p>
        </w:tc>
        <w:tc>
          <w:tcPr>
            <w:tcW w:type="dxa" w:w="907"/>
          </w:tcPr>
          <w:p>
            <w:pPr>
              <w:spacing w:after="40" w:before="40"/>
              <w:jc w:val="center"/>
            </w:pPr>
            <w:r>
              <w:rPr>
                <w:rFonts w:ascii="Calibri" w:hAnsi="Calibri"/>
                <w:b w:val="0"/>
                <w:i w:val="0"/>
                <w:sz w:val="17"/>
              </w:rPr>
              <w:t>Pail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Joint compound and tape</w:t>
            </w:r>
          </w:p>
        </w:tc>
        <w:tc>
          <w:tcPr>
            <w:tcW w:type="dxa" w:w="4762"/>
            <w:shd w:val="clear" w:fill="F4F8FC"/>
          </w:tcPr>
          <w:p>
            <w:pPr>
              <w:spacing w:after="40" w:before="40"/>
            </w:pPr>
            <w:r>
              <w:rPr>
                <w:rFonts w:ascii="Calibri" w:hAnsi="Calibri"/>
                <w:b w:val="0"/>
                <w:i w:val="0"/>
                <w:sz w:val="17"/>
              </w:rPr>
              <w:t>For plasterboard joints; tape width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Paint roller, short pile</w:t>
            </w:r>
          </w:p>
        </w:tc>
        <w:tc>
          <w:tcPr>
            <w:tcW w:type="dxa" w:w="4762"/>
          </w:tcPr>
          <w:p>
            <w:pPr>
              <w:spacing w:after="40" w:before="40"/>
            </w:pPr>
            <w:r>
              <w:rPr>
                <w:rFonts w:ascii="Calibri" w:hAnsi="Calibri"/>
                <w:b w:val="0"/>
                <w:i w:val="0"/>
                <w:sz w:val="17"/>
              </w:rPr>
              <w:t>Pile height and roller width stated; for smooth surfaces</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Paint roller, medium pile</w:t>
            </w:r>
          </w:p>
        </w:tc>
        <w:tc>
          <w:tcPr>
            <w:tcW w:type="dxa" w:w="4762"/>
            <w:shd w:val="clear" w:fill="F4F8FC"/>
          </w:tcPr>
          <w:p>
            <w:pPr>
              <w:spacing w:after="40" w:before="40"/>
            </w:pPr>
            <w:r>
              <w:rPr>
                <w:rFonts w:ascii="Calibri" w:hAnsi="Calibri"/>
                <w:b w:val="0"/>
                <w:i w:val="0"/>
                <w:sz w:val="17"/>
              </w:rPr>
              <w:t>Pile height and roller width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Paint roller, long pile</w:t>
            </w:r>
          </w:p>
        </w:tc>
        <w:tc>
          <w:tcPr>
            <w:tcW w:type="dxa" w:w="4762"/>
          </w:tcPr>
          <w:p>
            <w:pPr>
              <w:spacing w:after="40" w:before="40"/>
            </w:pPr>
            <w:r>
              <w:rPr>
                <w:rFonts w:ascii="Calibri" w:hAnsi="Calibri"/>
                <w:b w:val="0"/>
                <w:i w:val="0"/>
                <w:sz w:val="17"/>
              </w:rPr>
              <w:t>Pile height and roller width stated; for textured surfaces</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Paint roller, mohair</w:t>
            </w:r>
          </w:p>
        </w:tc>
        <w:tc>
          <w:tcPr>
            <w:tcW w:type="dxa" w:w="4762"/>
            <w:shd w:val="clear" w:fill="F4F8FC"/>
          </w:tcPr>
          <w:p>
            <w:pPr>
              <w:spacing w:after="40" w:before="40"/>
            </w:pPr>
            <w:r>
              <w:rPr>
                <w:rFonts w:ascii="Calibri" w:hAnsi="Calibri"/>
                <w:b w:val="0"/>
                <w:i w:val="0"/>
                <w:sz w:val="17"/>
              </w:rPr>
              <w:t>Short pile; for gloss and satin finishes</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Roller frame</w:t>
            </w:r>
          </w:p>
        </w:tc>
        <w:tc>
          <w:tcPr>
            <w:tcW w:type="dxa" w:w="4762"/>
          </w:tcPr>
          <w:p>
            <w:pPr>
              <w:spacing w:after="40" w:before="40"/>
            </w:pPr>
            <w:r>
              <w:rPr>
                <w:rFonts w:ascii="Calibri" w:hAnsi="Calibri"/>
                <w:b w:val="0"/>
                <w:i w:val="0"/>
                <w:sz w:val="17"/>
              </w:rPr>
              <w:t>Roller width and handle thread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Extension pole, telescopic</w:t>
            </w:r>
          </w:p>
        </w:tc>
        <w:tc>
          <w:tcPr>
            <w:tcW w:type="dxa" w:w="4762"/>
            <w:shd w:val="clear" w:fill="F4F8FC"/>
          </w:tcPr>
          <w:p>
            <w:pPr>
              <w:spacing w:after="40" w:before="40"/>
            </w:pPr>
            <w:r>
              <w:rPr>
                <w:rFonts w:ascii="Calibri" w:hAnsi="Calibri"/>
                <w:b w:val="0"/>
                <w:i w:val="0"/>
                <w:sz w:val="17"/>
              </w:rPr>
              <w:t>Extended length and thread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Paint brush, flat</w:t>
            </w:r>
          </w:p>
        </w:tc>
        <w:tc>
          <w:tcPr>
            <w:tcW w:type="dxa" w:w="4762"/>
          </w:tcPr>
          <w:p>
            <w:pPr>
              <w:spacing w:after="40" w:before="40"/>
            </w:pPr>
            <w:r>
              <w:rPr>
                <w:rFonts w:ascii="Calibri" w:hAnsi="Calibri"/>
                <w:b w:val="0"/>
                <w:i w:val="0"/>
                <w:sz w:val="17"/>
              </w:rPr>
              <w:t>Width, bristle type and handle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Radiator brush</w:t>
            </w:r>
          </w:p>
        </w:tc>
        <w:tc>
          <w:tcPr>
            <w:tcW w:type="dxa" w:w="4762"/>
            <w:shd w:val="clear" w:fill="F4F8FC"/>
          </w:tcPr>
          <w:p>
            <w:pPr>
              <w:spacing w:after="40" w:before="40"/>
            </w:pPr>
            <w:r>
              <w:rPr>
                <w:rFonts w:ascii="Calibri" w:hAnsi="Calibri"/>
                <w:b w:val="0"/>
                <w:i w:val="0"/>
                <w:sz w:val="17"/>
              </w:rPr>
              <w:t>Angled long handle; width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Paint tray</w:t>
            </w:r>
          </w:p>
        </w:tc>
        <w:tc>
          <w:tcPr>
            <w:tcW w:type="dxa" w:w="4762"/>
          </w:tcPr>
          <w:p>
            <w:pPr>
              <w:spacing w:after="40" w:before="40"/>
            </w:pPr>
            <w:r>
              <w:rPr>
                <w:rFonts w:ascii="Calibri" w:hAnsi="Calibri"/>
                <w:b w:val="0"/>
                <w:i w:val="0"/>
                <w:sz w:val="17"/>
              </w:rPr>
              <w:t>Roller width compatibility and liner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Masking tape</w:t>
            </w:r>
          </w:p>
        </w:tc>
        <w:tc>
          <w:tcPr>
            <w:tcW w:type="dxa" w:w="4762"/>
            <w:shd w:val="clear" w:fill="F4F8FC"/>
          </w:tcPr>
          <w:p>
            <w:pPr>
              <w:spacing w:after="40" w:before="40"/>
            </w:pPr>
            <w:r>
              <w:rPr>
                <w:rFonts w:ascii="Calibri" w:hAnsi="Calibri"/>
                <w:b w:val="0"/>
                <w:i w:val="0"/>
                <w:sz w:val="17"/>
              </w:rPr>
              <w:t>Width, length and removal time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Protective sheeting</w:t>
            </w:r>
          </w:p>
        </w:tc>
        <w:tc>
          <w:tcPr>
            <w:tcW w:type="dxa" w:w="4762"/>
          </w:tcPr>
          <w:p>
            <w:pPr>
              <w:spacing w:after="40" w:before="40"/>
            </w:pPr>
            <w:r>
              <w:rPr>
                <w:rFonts w:ascii="Calibri" w:hAnsi="Calibri"/>
                <w:b w:val="0"/>
                <w:i w:val="0"/>
                <w:sz w:val="17"/>
              </w:rPr>
              <w:t>Micron thickness and sheet size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Floor protection fleece</w:t>
            </w:r>
          </w:p>
        </w:tc>
        <w:tc>
          <w:tcPr>
            <w:tcW w:type="dxa" w:w="4762"/>
            <w:shd w:val="clear" w:fill="F4F8FC"/>
          </w:tcPr>
          <w:p>
            <w:pPr>
              <w:spacing w:after="40" w:before="40"/>
            </w:pPr>
            <w:r>
              <w:rPr>
                <w:rFonts w:ascii="Calibri" w:hAnsi="Calibri"/>
                <w:b w:val="0"/>
                <w:i w:val="0"/>
                <w:sz w:val="17"/>
              </w:rPr>
              <w:t>Width, length and absorbency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Abrasive paper, hand</w:t>
            </w:r>
          </w:p>
        </w:tc>
        <w:tc>
          <w:tcPr>
            <w:tcW w:type="dxa" w:w="4762"/>
          </w:tcPr>
          <w:p>
            <w:pPr>
              <w:spacing w:after="40" w:before="40"/>
            </w:pPr>
            <w:r>
              <w:rPr>
                <w:rFonts w:ascii="Calibri" w:hAnsi="Calibri"/>
                <w:b w:val="0"/>
                <w:i w:val="0"/>
                <w:sz w:val="17"/>
              </w:rPr>
              <w:t>Grit size and sheet dimensions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Abrasive disc, hook and loop</w:t>
            </w:r>
          </w:p>
        </w:tc>
        <w:tc>
          <w:tcPr>
            <w:tcW w:type="dxa" w:w="4762"/>
            <w:shd w:val="clear" w:fill="F4F8FC"/>
          </w:tcPr>
          <w:p>
            <w:pPr>
              <w:spacing w:after="40" w:before="40"/>
            </w:pPr>
            <w:r>
              <w:rPr>
                <w:rFonts w:ascii="Calibri" w:hAnsi="Calibri"/>
                <w:b w:val="0"/>
                <w:i w:val="0"/>
                <w:sz w:val="17"/>
              </w:rPr>
              <w:t>Diameter, grit and hole pattern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Filling knife and trowel set</w:t>
            </w:r>
          </w:p>
        </w:tc>
        <w:tc>
          <w:tcPr>
            <w:tcW w:type="dxa" w:w="4762"/>
          </w:tcPr>
          <w:p>
            <w:pPr>
              <w:spacing w:after="40" w:before="40"/>
            </w:pPr>
            <w:r>
              <w:rPr>
                <w:rFonts w:ascii="Calibri" w:hAnsi="Calibri"/>
                <w:b w:val="0"/>
                <w:i w:val="0"/>
                <w:sz w:val="17"/>
              </w:rPr>
              <w:t>Blade widths and material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Paint mixing paddle</w:t>
            </w:r>
          </w:p>
        </w:tc>
        <w:tc>
          <w:tcPr>
            <w:tcW w:type="dxa" w:w="4762"/>
            <w:shd w:val="clear" w:fill="F4F8FC"/>
          </w:tcPr>
          <w:p>
            <w:pPr>
              <w:spacing w:after="40" w:before="40"/>
            </w:pPr>
            <w:r>
              <w:rPr>
                <w:rFonts w:ascii="Calibri" w:hAnsi="Calibri"/>
                <w:b w:val="0"/>
                <w:i w:val="0"/>
                <w:sz w:val="17"/>
              </w:rPr>
              <w:t>Shaft diameter and paddle length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31</w:t>
            </w:r>
          </w:p>
        </w:tc>
        <w:tc>
          <w:tcPr>
            <w:tcW w:type="dxa" w:w="2551"/>
          </w:tcPr>
          <w:p>
            <w:pPr>
              <w:spacing w:after="40" w:before="40"/>
            </w:pPr>
            <w:r>
              <w:rPr>
                <w:rFonts w:ascii="Calibri" w:hAnsi="Calibri"/>
                <w:b/>
                <w:i w:val="0"/>
                <w:sz w:val="17"/>
              </w:rPr>
              <w:t>Thinner, synthetic</w:t>
            </w:r>
          </w:p>
        </w:tc>
        <w:tc>
          <w:tcPr>
            <w:tcW w:type="dxa" w:w="4762"/>
          </w:tcPr>
          <w:p>
            <w:pPr>
              <w:spacing w:after="40" w:before="40"/>
            </w:pPr>
            <w:r>
              <w:rPr>
                <w:rFonts w:ascii="Calibri" w:hAnsi="Calibri"/>
                <w:b w:val="0"/>
                <w:i w:val="0"/>
                <w:sz w:val="17"/>
              </w:rPr>
              <w:t>Safety data sheet supplied; storage requirements apply</w:t>
            </w:r>
          </w:p>
        </w:tc>
        <w:tc>
          <w:tcPr>
            <w:tcW w:type="dxa" w:w="907"/>
          </w:tcPr>
          <w:p>
            <w:pPr>
              <w:spacing w:after="40" w:before="40"/>
              <w:jc w:val="center"/>
            </w:pPr>
            <w:r>
              <w:rPr>
                <w:rFonts w:ascii="Calibri" w:hAnsi="Calibri"/>
                <w:b w:val="0"/>
                <w:i w:val="0"/>
                <w:sz w:val="17"/>
              </w:rPr>
              <w:t>Drum</w:t>
            </w:r>
          </w:p>
        </w:tc>
        <w:tc>
          <w:tcPr>
            <w:tcW w:type="dxa" w:w="907"/>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