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BOYA VE BOYA YARDIMCI MALZEMESI</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Boya ve Boya Yardımcı Malzemesi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boya ve boya yardımcı malzemesi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Aşağıdaki tabloda 31 kalem yer almaktadır. Kurumunuzun ihtiyacı olmayan satırları silin, gereken satırları ekleyin ve “Miktar” sütununu doldurun.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İç cephe plastik boya</w:t>
            </w:r>
          </w:p>
        </w:tc>
        <w:tc>
          <w:tcPr>
            <w:tcW w:type="dxa" w:w="4762"/>
          </w:tcPr>
          <w:p>
            <w:pPr>
              <w:spacing w:after="40" w:before="40"/>
            </w:pPr>
            <w:r>
              <w:rPr>
                <w:rFonts w:ascii="Calibri" w:hAnsi="Calibri"/>
                <w:b w:val="0"/>
                <w:i w:val="0"/>
                <w:sz w:val="17"/>
              </w:rPr>
              <w:t>Su bazlı, silikonlu, örtücülük sınıf 2, ıslak ovma dayanımı TS EN 13300 sınıf 2 veya daha iyi, 15 litre</w:t>
            </w:r>
          </w:p>
        </w:tc>
        <w:tc>
          <w:tcPr>
            <w:tcW w:type="dxa" w:w="850"/>
          </w:tcPr>
          <w:p>
            <w:pPr>
              <w:spacing w:after="40" w:before="40"/>
              <w:jc w:val="center"/>
            </w:pPr>
            <w:r>
              <w:rPr>
                <w:rFonts w:ascii="Calibri" w:hAnsi="Calibri"/>
                <w:b w:val="0"/>
                <w:i w:val="0"/>
                <w:sz w:val="17"/>
              </w:rPr>
              <w:t>Kova</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İç cephe saten boya</w:t>
            </w:r>
          </w:p>
        </w:tc>
        <w:tc>
          <w:tcPr>
            <w:tcW w:type="dxa" w:w="4762"/>
            <w:shd w:val="clear" w:fill="F4F8FC"/>
          </w:tcPr>
          <w:p>
            <w:pPr>
              <w:spacing w:after="40" w:before="40"/>
            </w:pPr>
            <w:r>
              <w:rPr>
                <w:rFonts w:ascii="Calibri" w:hAnsi="Calibri"/>
                <w:b w:val="0"/>
                <w:i w:val="0"/>
                <w:sz w:val="17"/>
              </w:rPr>
              <w:t>Su bazlı, silikonlu, yarı mat, TS EN 13300 sınıf 1 ıslak ovma, 15 litre</w:t>
            </w:r>
          </w:p>
        </w:tc>
        <w:tc>
          <w:tcPr>
            <w:tcW w:type="dxa" w:w="850"/>
            <w:shd w:val="clear" w:fill="F4F8FC"/>
          </w:tcPr>
          <w:p>
            <w:pPr>
              <w:spacing w:after="40" w:before="40"/>
              <w:jc w:val="center"/>
            </w:pPr>
            <w:r>
              <w:rPr>
                <w:rFonts w:ascii="Calibri" w:hAnsi="Calibri"/>
                <w:b w:val="0"/>
                <w:i w:val="0"/>
                <w:sz w:val="17"/>
              </w:rPr>
              <w:t>Kova</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Tavan boyası</w:t>
            </w:r>
          </w:p>
        </w:tc>
        <w:tc>
          <w:tcPr>
            <w:tcW w:type="dxa" w:w="4762"/>
          </w:tcPr>
          <w:p>
            <w:pPr>
              <w:spacing w:after="40" w:before="40"/>
            </w:pPr>
            <w:r>
              <w:rPr>
                <w:rFonts w:ascii="Calibri" w:hAnsi="Calibri"/>
                <w:b w:val="0"/>
                <w:i w:val="0"/>
                <w:sz w:val="17"/>
              </w:rPr>
              <w:t>Su bazlı, tam mat, damlamayan, 15 litre</w:t>
            </w:r>
          </w:p>
        </w:tc>
        <w:tc>
          <w:tcPr>
            <w:tcW w:type="dxa" w:w="850"/>
          </w:tcPr>
          <w:p>
            <w:pPr>
              <w:spacing w:after="40" w:before="40"/>
              <w:jc w:val="center"/>
            </w:pPr>
            <w:r>
              <w:rPr>
                <w:rFonts w:ascii="Calibri" w:hAnsi="Calibri"/>
                <w:b w:val="0"/>
                <w:i w:val="0"/>
                <w:sz w:val="17"/>
              </w:rPr>
              <w:t>Kova</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Dış cephe akrilik boya</w:t>
            </w:r>
          </w:p>
        </w:tc>
        <w:tc>
          <w:tcPr>
            <w:tcW w:type="dxa" w:w="4762"/>
            <w:shd w:val="clear" w:fill="F4F8FC"/>
          </w:tcPr>
          <w:p>
            <w:pPr>
              <w:spacing w:after="40" w:before="40"/>
            </w:pPr>
            <w:r>
              <w:rPr>
                <w:rFonts w:ascii="Calibri" w:hAnsi="Calibri"/>
                <w:b w:val="0"/>
                <w:i w:val="0"/>
                <w:sz w:val="17"/>
              </w:rPr>
              <w:t>Su bazlı, silikon emülsiyonlu, su buharı geçirgen, TS EN 1062, 15 litre</w:t>
            </w:r>
          </w:p>
        </w:tc>
        <w:tc>
          <w:tcPr>
            <w:tcW w:type="dxa" w:w="850"/>
            <w:shd w:val="clear" w:fill="F4F8FC"/>
          </w:tcPr>
          <w:p>
            <w:pPr>
              <w:spacing w:after="40" w:before="40"/>
              <w:jc w:val="center"/>
            </w:pPr>
            <w:r>
              <w:rPr>
                <w:rFonts w:ascii="Calibri" w:hAnsi="Calibri"/>
                <w:b w:val="0"/>
                <w:i w:val="0"/>
                <w:sz w:val="17"/>
              </w:rPr>
              <w:t>Kova</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Sentetik yağlı boya</w:t>
            </w:r>
          </w:p>
        </w:tc>
        <w:tc>
          <w:tcPr>
            <w:tcW w:type="dxa" w:w="4762"/>
          </w:tcPr>
          <w:p>
            <w:pPr>
              <w:spacing w:after="40" w:before="40"/>
            </w:pPr>
            <w:r>
              <w:rPr>
                <w:rFonts w:ascii="Calibri" w:hAnsi="Calibri"/>
                <w:b w:val="0"/>
                <w:i w:val="0"/>
                <w:sz w:val="17"/>
              </w:rPr>
              <w:t>Solvent bazlı, parlak, iç-dış mekân, 2,5 litre</w:t>
            </w:r>
          </w:p>
        </w:tc>
        <w:tc>
          <w:tcPr>
            <w:tcW w:type="dxa" w:w="850"/>
          </w:tcPr>
          <w:p>
            <w:pPr>
              <w:spacing w:after="40" w:before="40"/>
              <w:jc w:val="center"/>
            </w:pPr>
            <w:r>
              <w:rPr>
                <w:rFonts w:ascii="Calibri" w:hAnsi="Calibri"/>
                <w:b w:val="0"/>
                <w:i w:val="0"/>
                <w:sz w:val="17"/>
              </w:rPr>
              <w:t>Kutu</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Astar, iç cephe</w:t>
            </w:r>
          </w:p>
        </w:tc>
        <w:tc>
          <w:tcPr>
            <w:tcW w:type="dxa" w:w="4762"/>
            <w:shd w:val="clear" w:fill="F4F8FC"/>
          </w:tcPr>
          <w:p>
            <w:pPr>
              <w:spacing w:after="40" w:before="40"/>
            </w:pPr>
            <w:r>
              <w:rPr>
                <w:rFonts w:ascii="Calibri" w:hAnsi="Calibri"/>
                <w:b w:val="0"/>
                <w:i w:val="0"/>
                <w:sz w:val="17"/>
              </w:rPr>
              <w:t>Su bazlı, emiciliği dengeleyici, şeffaf veya beyaz, 15 litre</w:t>
            </w:r>
          </w:p>
        </w:tc>
        <w:tc>
          <w:tcPr>
            <w:tcW w:type="dxa" w:w="850"/>
            <w:shd w:val="clear" w:fill="F4F8FC"/>
          </w:tcPr>
          <w:p>
            <w:pPr>
              <w:spacing w:after="40" w:before="40"/>
              <w:jc w:val="center"/>
            </w:pPr>
            <w:r>
              <w:rPr>
                <w:rFonts w:ascii="Calibri" w:hAnsi="Calibri"/>
                <w:b w:val="0"/>
                <w:i w:val="0"/>
                <w:sz w:val="17"/>
              </w:rPr>
              <w:t>Kova</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Astar, dış cephe</w:t>
            </w:r>
          </w:p>
        </w:tc>
        <w:tc>
          <w:tcPr>
            <w:tcW w:type="dxa" w:w="4762"/>
          </w:tcPr>
          <w:p>
            <w:pPr>
              <w:spacing w:after="40" w:before="40"/>
            </w:pPr>
            <w:r>
              <w:rPr>
                <w:rFonts w:ascii="Calibri" w:hAnsi="Calibri"/>
                <w:b w:val="0"/>
                <w:i w:val="0"/>
                <w:sz w:val="17"/>
              </w:rPr>
              <w:t>Su bazlı, derinlemesine emici, 15 litre</w:t>
            </w:r>
          </w:p>
        </w:tc>
        <w:tc>
          <w:tcPr>
            <w:tcW w:type="dxa" w:w="850"/>
          </w:tcPr>
          <w:p>
            <w:pPr>
              <w:spacing w:after="40" w:before="40"/>
              <w:jc w:val="center"/>
            </w:pPr>
            <w:r>
              <w:rPr>
                <w:rFonts w:ascii="Calibri" w:hAnsi="Calibri"/>
                <w:b w:val="0"/>
                <w:i w:val="0"/>
                <w:sz w:val="17"/>
              </w:rPr>
              <w:t>Kova</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Antipas astar</w:t>
            </w:r>
          </w:p>
        </w:tc>
        <w:tc>
          <w:tcPr>
            <w:tcW w:type="dxa" w:w="4762"/>
            <w:shd w:val="clear" w:fill="F4F8FC"/>
          </w:tcPr>
          <w:p>
            <w:pPr>
              <w:spacing w:after="40" w:before="40"/>
            </w:pPr>
            <w:r>
              <w:rPr>
                <w:rFonts w:ascii="Calibri" w:hAnsi="Calibri"/>
                <w:b w:val="0"/>
                <w:i w:val="0"/>
                <w:sz w:val="17"/>
              </w:rPr>
              <w:t>Sentetik, çinko fosfatlı, kuru film kalınlığı belirtilmiş, 2,5 litre</w:t>
            </w:r>
          </w:p>
        </w:tc>
        <w:tc>
          <w:tcPr>
            <w:tcW w:type="dxa" w:w="850"/>
            <w:shd w:val="clear" w:fill="F4F8FC"/>
          </w:tcPr>
          <w:p>
            <w:pPr>
              <w:spacing w:after="40" w:before="40"/>
              <w:jc w:val="center"/>
            </w:pPr>
            <w:r>
              <w:rPr>
                <w:rFonts w:ascii="Calibri" w:hAnsi="Calibri"/>
                <w:b w:val="0"/>
                <w:i w:val="0"/>
                <w:sz w:val="17"/>
              </w:rPr>
              <w:t>Kutu</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Epoksi zemin boyası</w:t>
            </w:r>
          </w:p>
        </w:tc>
        <w:tc>
          <w:tcPr>
            <w:tcW w:type="dxa" w:w="4762"/>
          </w:tcPr>
          <w:p>
            <w:pPr>
              <w:spacing w:after="40" w:before="40"/>
            </w:pPr>
            <w:r>
              <w:rPr>
                <w:rFonts w:ascii="Calibri" w:hAnsi="Calibri"/>
                <w:b w:val="0"/>
                <w:i w:val="0"/>
                <w:sz w:val="17"/>
              </w:rPr>
              <w:t>İki bileşenli, solventsiz veya solventli, karışım oranı ve kap ömrü etikette, set (A+B)</w:t>
            </w:r>
          </w:p>
        </w:tc>
        <w:tc>
          <w:tcPr>
            <w:tcW w:type="dxa" w:w="850"/>
          </w:tcPr>
          <w:p>
            <w:pPr>
              <w:spacing w:after="40" w:before="40"/>
              <w:jc w:val="center"/>
            </w:pPr>
            <w:r>
              <w:rPr>
                <w:rFonts w:ascii="Calibri" w:hAnsi="Calibri"/>
                <w:b w:val="0"/>
                <w:i w:val="0"/>
                <w:sz w:val="17"/>
              </w:rPr>
              <w:t>Set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Yol / saha çizgi boyası</w:t>
            </w:r>
          </w:p>
        </w:tc>
        <w:tc>
          <w:tcPr>
            <w:tcW w:type="dxa" w:w="4762"/>
            <w:shd w:val="clear" w:fill="F4F8FC"/>
          </w:tcPr>
          <w:p>
            <w:pPr>
              <w:spacing w:after="40" w:before="40"/>
            </w:pPr>
            <w:r>
              <w:rPr>
                <w:rFonts w:ascii="Calibri" w:hAnsi="Calibri"/>
                <w:b w:val="0"/>
                <w:i w:val="0"/>
                <w:sz w:val="17"/>
              </w:rPr>
              <w:t>Solvent bazlı, hızlı kuruyan, sarı veya beyaz, 15 litre</w:t>
            </w:r>
          </w:p>
        </w:tc>
        <w:tc>
          <w:tcPr>
            <w:tcW w:type="dxa" w:w="850"/>
            <w:shd w:val="clear" w:fill="F4F8FC"/>
          </w:tcPr>
          <w:p>
            <w:pPr>
              <w:spacing w:after="40" w:before="40"/>
              <w:jc w:val="center"/>
            </w:pPr>
            <w:r>
              <w:rPr>
                <w:rFonts w:ascii="Calibri" w:hAnsi="Calibri"/>
                <w:b w:val="0"/>
                <w:i w:val="0"/>
                <w:sz w:val="17"/>
              </w:rPr>
              <w:t>Kova</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Isıya dayanıklı boya</w:t>
            </w:r>
          </w:p>
        </w:tc>
        <w:tc>
          <w:tcPr>
            <w:tcW w:type="dxa" w:w="4762"/>
          </w:tcPr>
          <w:p>
            <w:pPr>
              <w:spacing w:after="40" w:before="40"/>
            </w:pPr>
            <w:r>
              <w:rPr>
                <w:rFonts w:ascii="Calibri" w:hAnsi="Calibri"/>
                <w:b w:val="0"/>
                <w:i w:val="0"/>
                <w:sz w:val="17"/>
              </w:rPr>
              <w:t>600 °C'ye kadar, silikon reçineli. Ambalaj satır bazında yazılır (400 ml aerosol / 0,75 L kutu); her ambalaj ayrı satırda fiyatlandırılır</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Saten alçı macunu, toz</w:t>
            </w:r>
          </w:p>
        </w:tc>
        <w:tc>
          <w:tcPr>
            <w:tcW w:type="dxa" w:w="4762"/>
            <w:shd w:val="clear" w:fill="F4F8FC"/>
          </w:tcPr>
          <w:p>
            <w:pPr>
              <w:spacing w:after="40" w:before="40"/>
            </w:pPr>
            <w:r>
              <w:rPr>
                <w:rFonts w:ascii="Calibri" w:hAnsi="Calibri"/>
                <w:b w:val="0"/>
                <w:i w:val="0"/>
                <w:sz w:val="17"/>
              </w:rPr>
              <w:t>Toz halde, su ile karıştırılarak hazırlanan saten perdah macunu, 25 kg torba</w:t>
            </w:r>
          </w:p>
        </w:tc>
        <w:tc>
          <w:tcPr>
            <w:tcW w:type="dxa" w:w="850"/>
            <w:shd w:val="clear" w:fill="F4F8FC"/>
          </w:tcPr>
          <w:p>
            <w:pPr>
              <w:spacing w:after="40" w:before="40"/>
              <w:jc w:val="center"/>
            </w:pPr>
            <w:r>
              <w:rPr>
                <w:rFonts w:ascii="Calibri" w:hAnsi="Calibri"/>
                <w:b w:val="0"/>
                <w:i w:val="0"/>
                <w:sz w:val="17"/>
              </w:rPr>
              <w:t>Torba</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Saten macun, hazır (pasta)</w:t>
            </w:r>
          </w:p>
        </w:tc>
        <w:tc>
          <w:tcPr>
            <w:tcW w:type="dxa" w:w="4762"/>
          </w:tcPr>
          <w:p>
            <w:pPr>
              <w:spacing w:after="40" w:before="40"/>
            </w:pPr>
            <w:r>
              <w:rPr>
                <w:rFonts w:ascii="Calibri" w:hAnsi="Calibri"/>
                <w:b w:val="0"/>
                <w:i w:val="0"/>
                <w:sz w:val="17"/>
              </w:rPr>
              <w:t>Kullanıma hazır, pasta kıvamında saten perdah macunu, 20 kg kova</w:t>
            </w:r>
          </w:p>
        </w:tc>
        <w:tc>
          <w:tcPr>
            <w:tcW w:type="dxa" w:w="850"/>
          </w:tcPr>
          <w:p>
            <w:pPr>
              <w:spacing w:after="40" w:before="40"/>
              <w:jc w:val="center"/>
            </w:pPr>
            <w:r>
              <w:rPr>
                <w:rFonts w:ascii="Calibri" w:hAnsi="Calibri"/>
                <w:b w:val="0"/>
                <w:i w:val="0"/>
                <w:sz w:val="17"/>
              </w:rPr>
              <w:t>Kova</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Derz dolgu ve bant</w:t>
            </w:r>
          </w:p>
        </w:tc>
        <w:tc>
          <w:tcPr>
            <w:tcW w:type="dxa" w:w="4762"/>
            <w:shd w:val="clear" w:fill="F4F8FC"/>
          </w:tcPr>
          <w:p>
            <w:pPr>
              <w:spacing w:after="40" w:before="40"/>
            </w:pPr>
            <w:r>
              <w:rPr>
                <w:rFonts w:ascii="Calibri" w:hAnsi="Calibri"/>
                <w:b w:val="0"/>
                <w:i w:val="0"/>
                <w:sz w:val="17"/>
              </w:rPr>
              <w:t>Alçıpan derzi için, 25 kg + 90 m file bant</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Boya rulosu, kısa hav</w:t>
            </w:r>
          </w:p>
        </w:tc>
        <w:tc>
          <w:tcPr>
            <w:tcW w:type="dxa" w:w="4762"/>
          </w:tcPr>
          <w:p>
            <w:pPr>
              <w:spacing w:after="40" w:before="40"/>
            </w:pPr>
            <w:r>
              <w:rPr>
                <w:rFonts w:ascii="Calibri" w:hAnsi="Calibri"/>
                <w:b w:val="0"/>
                <w:i w:val="0"/>
                <w:sz w:val="17"/>
              </w:rPr>
              <w:t>Hav boyu 10–12 mm, 25 cm, düzgün yüzeyler (alçıpan, saten macun, macunlanmış duvar) için, poliamid veya mikrofiber</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16</w:t>
            </w:r>
          </w:p>
        </w:tc>
        <w:tc>
          <w:tcPr>
            <w:tcW w:type="dxa" w:w="2438"/>
            <w:shd w:val="clear" w:fill="F4F8FC"/>
          </w:tcPr>
          <w:p>
            <w:pPr>
              <w:spacing w:after="40" w:before="40"/>
            </w:pPr>
            <w:r>
              <w:rPr>
                <w:rFonts w:ascii="Calibri" w:hAnsi="Calibri"/>
                <w:b/>
                <w:i w:val="0"/>
                <w:sz w:val="17"/>
              </w:rPr>
              <w:t>Boya rulosu, orta hav</w:t>
            </w:r>
          </w:p>
        </w:tc>
        <w:tc>
          <w:tcPr>
            <w:tcW w:type="dxa" w:w="4762"/>
            <w:shd w:val="clear" w:fill="F4F8FC"/>
          </w:tcPr>
          <w:p>
            <w:pPr>
              <w:spacing w:after="40" w:before="40"/>
            </w:pPr>
            <w:r>
              <w:rPr>
                <w:rFonts w:ascii="Calibri" w:hAnsi="Calibri"/>
                <w:b w:val="0"/>
                <w:i w:val="0"/>
                <w:sz w:val="17"/>
              </w:rPr>
              <w:t>Hav boyu 15–18 mm, 25 cm, sıvalı ve hafif dokulu yüzeyler için</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17</w:t>
            </w:r>
          </w:p>
        </w:tc>
        <w:tc>
          <w:tcPr>
            <w:tcW w:type="dxa" w:w="2438"/>
          </w:tcPr>
          <w:p>
            <w:pPr>
              <w:spacing w:after="40" w:before="40"/>
            </w:pPr>
            <w:r>
              <w:rPr>
                <w:rFonts w:ascii="Calibri" w:hAnsi="Calibri"/>
                <w:b/>
                <w:i w:val="0"/>
                <w:sz w:val="17"/>
              </w:rPr>
              <w:t>Boya rulosu, uzun hav</w:t>
            </w:r>
          </w:p>
        </w:tc>
        <w:tc>
          <w:tcPr>
            <w:tcW w:type="dxa" w:w="4762"/>
          </w:tcPr>
          <w:p>
            <w:pPr>
              <w:spacing w:after="40" w:before="40"/>
            </w:pPr>
            <w:r>
              <w:rPr>
                <w:rFonts w:ascii="Calibri" w:hAnsi="Calibri"/>
                <w:b w:val="0"/>
                <w:i w:val="0"/>
                <w:sz w:val="17"/>
              </w:rPr>
              <w:t>Hav boyu 25–32 mm, 25 cm, tuğla, briket ve derin dokulu yüzeyler için</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18</w:t>
            </w:r>
          </w:p>
        </w:tc>
        <w:tc>
          <w:tcPr>
            <w:tcW w:type="dxa" w:w="2438"/>
            <w:shd w:val="clear" w:fill="F4F8FC"/>
          </w:tcPr>
          <w:p>
            <w:pPr>
              <w:spacing w:after="40" w:before="40"/>
            </w:pPr>
            <w:r>
              <w:rPr>
                <w:rFonts w:ascii="Calibri" w:hAnsi="Calibri"/>
                <w:b/>
                <w:i w:val="0"/>
                <w:sz w:val="17"/>
              </w:rPr>
              <w:t>Boya rulosu, mohair (kısa)</w:t>
            </w:r>
          </w:p>
        </w:tc>
        <w:tc>
          <w:tcPr>
            <w:tcW w:type="dxa" w:w="4762"/>
            <w:shd w:val="clear" w:fill="F4F8FC"/>
          </w:tcPr>
          <w:p>
            <w:pPr>
              <w:spacing w:after="40" w:before="40"/>
            </w:pPr>
            <w:r>
              <w:rPr>
                <w:rFonts w:ascii="Calibri" w:hAnsi="Calibri"/>
                <w:b w:val="0"/>
                <w:i w:val="0"/>
                <w:sz w:val="17"/>
              </w:rPr>
              <w:t>Hav boyu 4–6 mm, sentetik ve yağlı boya için, çözücüye dayanıklı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19</w:t>
            </w:r>
          </w:p>
        </w:tc>
        <w:tc>
          <w:tcPr>
            <w:tcW w:type="dxa" w:w="2438"/>
          </w:tcPr>
          <w:p>
            <w:pPr>
              <w:spacing w:after="40" w:before="40"/>
            </w:pPr>
            <w:r>
              <w:rPr>
                <w:rFonts w:ascii="Calibri" w:hAnsi="Calibri"/>
                <w:b/>
                <w:i w:val="0"/>
                <w:sz w:val="17"/>
              </w:rPr>
              <w:t>Rulo sapı (kollu)</w:t>
            </w:r>
          </w:p>
        </w:tc>
        <w:tc>
          <w:tcPr>
            <w:tcW w:type="dxa" w:w="4762"/>
          </w:tcPr>
          <w:p>
            <w:pPr>
              <w:spacing w:after="40" w:before="40"/>
            </w:pPr>
            <w:r>
              <w:rPr>
                <w:rFonts w:ascii="Calibri" w:hAnsi="Calibri"/>
                <w:b w:val="0"/>
                <w:i w:val="0"/>
                <w:sz w:val="17"/>
              </w:rPr>
              <w:t>25 cm rulo uyumlu, teleskopik saplık girişli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20</w:t>
            </w:r>
          </w:p>
        </w:tc>
        <w:tc>
          <w:tcPr>
            <w:tcW w:type="dxa" w:w="2438"/>
            <w:shd w:val="clear" w:fill="F4F8FC"/>
          </w:tcPr>
          <w:p>
            <w:pPr>
              <w:spacing w:after="40" w:before="40"/>
            </w:pPr>
            <w:r>
              <w:rPr>
                <w:rFonts w:ascii="Calibri" w:hAnsi="Calibri"/>
                <w:b/>
                <w:i w:val="0"/>
                <w:sz w:val="17"/>
              </w:rPr>
              <w:t>Teleskopik sap</w:t>
            </w:r>
          </w:p>
        </w:tc>
        <w:tc>
          <w:tcPr>
            <w:tcW w:type="dxa" w:w="4762"/>
            <w:shd w:val="clear" w:fill="F4F8FC"/>
          </w:tcPr>
          <w:p>
            <w:pPr>
              <w:spacing w:after="40" w:before="40"/>
            </w:pPr>
            <w:r>
              <w:rPr>
                <w:rFonts w:ascii="Calibri" w:hAnsi="Calibri"/>
                <w:b w:val="0"/>
                <w:i w:val="0"/>
                <w:sz w:val="17"/>
              </w:rPr>
              <w:t>Alüminyum, 1,5–3,0 m</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21</w:t>
            </w:r>
          </w:p>
        </w:tc>
        <w:tc>
          <w:tcPr>
            <w:tcW w:type="dxa" w:w="2438"/>
          </w:tcPr>
          <w:p>
            <w:pPr>
              <w:spacing w:after="40" w:before="40"/>
            </w:pPr>
            <w:r>
              <w:rPr>
                <w:rFonts w:ascii="Calibri" w:hAnsi="Calibri"/>
                <w:b/>
                <w:i w:val="0"/>
                <w:sz w:val="17"/>
              </w:rPr>
              <w:t>Boya fırçası, düz</w:t>
            </w:r>
          </w:p>
        </w:tc>
        <w:tc>
          <w:tcPr>
            <w:tcW w:type="dxa" w:w="4762"/>
          </w:tcPr>
          <w:p>
            <w:pPr>
              <w:spacing w:after="40" w:before="40"/>
            </w:pPr>
            <w:r>
              <w:rPr>
                <w:rFonts w:ascii="Calibri" w:hAnsi="Calibri"/>
                <w:b w:val="0"/>
                <w:i w:val="0"/>
                <w:sz w:val="17"/>
              </w:rPr>
              <w:t>Sentetik kıl (su bazlı boya) veya doğal kıl (yağlı boya). Genişlik satır bazında yazılır (50 mm / 70 mm / 100 mm); her genişlik ayrı satırda fiyatlandırılır</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22</w:t>
            </w:r>
          </w:p>
        </w:tc>
        <w:tc>
          <w:tcPr>
            <w:tcW w:type="dxa" w:w="2438"/>
            <w:shd w:val="clear" w:fill="F4F8FC"/>
          </w:tcPr>
          <w:p>
            <w:pPr>
              <w:spacing w:after="40" w:before="40"/>
            </w:pPr>
            <w:r>
              <w:rPr>
                <w:rFonts w:ascii="Calibri" w:hAnsi="Calibri"/>
                <w:b/>
                <w:i w:val="0"/>
                <w:sz w:val="17"/>
              </w:rPr>
              <w:t>Radyatör fırçası</w:t>
            </w:r>
          </w:p>
        </w:tc>
        <w:tc>
          <w:tcPr>
            <w:tcW w:type="dxa" w:w="4762"/>
            <w:shd w:val="clear" w:fill="F4F8FC"/>
          </w:tcPr>
          <w:p>
            <w:pPr>
              <w:spacing w:after="40" w:before="40"/>
            </w:pPr>
            <w:r>
              <w:rPr>
                <w:rFonts w:ascii="Calibri" w:hAnsi="Calibri"/>
                <w:b w:val="0"/>
                <w:i w:val="0"/>
                <w:sz w:val="17"/>
              </w:rPr>
              <w:t>Uzun saplı, eğik uçlu, 50 mm</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23</w:t>
            </w:r>
          </w:p>
        </w:tc>
        <w:tc>
          <w:tcPr>
            <w:tcW w:type="dxa" w:w="2438"/>
          </w:tcPr>
          <w:p>
            <w:pPr>
              <w:spacing w:after="40" w:before="40"/>
            </w:pPr>
            <w:r>
              <w:rPr>
                <w:rFonts w:ascii="Calibri" w:hAnsi="Calibri"/>
                <w:b/>
                <w:i w:val="0"/>
                <w:sz w:val="17"/>
              </w:rPr>
              <w:t>Boya teknesi (küvet)</w:t>
            </w:r>
          </w:p>
        </w:tc>
        <w:tc>
          <w:tcPr>
            <w:tcW w:type="dxa" w:w="4762"/>
          </w:tcPr>
          <w:p>
            <w:pPr>
              <w:spacing w:after="40" w:before="40"/>
            </w:pPr>
            <w:r>
              <w:rPr>
                <w:rFonts w:ascii="Calibri" w:hAnsi="Calibri"/>
                <w:b w:val="0"/>
                <w:i w:val="0"/>
                <w:sz w:val="17"/>
              </w:rPr>
              <w:t>25 cm rulo uyumlu, ızgaralı, plastik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24</w:t>
            </w:r>
          </w:p>
        </w:tc>
        <w:tc>
          <w:tcPr>
            <w:tcW w:type="dxa" w:w="2438"/>
            <w:shd w:val="clear" w:fill="F4F8FC"/>
          </w:tcPr>
          <w:p>
            <w:pPr>
              <w:spacing w:after="40" w:before="40"/>
            </w:pPr>
            <w:r>
              <w:rPr>
                <w:rFonts w:ascii="Calibri" w:hAnsi="Calibri"/>
                <w:b/>
                <w:i w:val="0"/>
                <w:sz w:val="17"/>
              </w:rPr>
              <w:t>Maskeleme bandı</w:t>
            </w:r>
          </w:p>
        </w:tc>
        <w:tc>
          <w:tcPr>
            <w:tcW w:type="dxa" w:w="4762"/>
            <w:shd w:val="clear" w:fill="F4F8FC"/>
          </w:tcPr>
          <w:p>
            <w:pPr>
              <w:spacing w:after="40" w:before="40"/>
            </w:pPr>
            <w:r>
              <w:rPr>
                <w:rFonts w:ascii="Calibri" w:hAnsi="Calibri"/>
                <w:b w:val="0"/>
                <w:i w:val="0"/>
                <w:sz w:val="17"/>
              </w:rPr>
              <w:t>Kağıt, 38 mm × 40 m, iz bırakmayan, UV dayanımı belirtilmiş</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25</w:t>
            </w:r>
          </w:p>
        </w:tc>
        <w:tc>
          <w:tcPr>
            <w:tcW w:type="dxa" w:w="2438"/>
          </w:tcPr>
          <w:p>
            <w:pPr>
              <w:spacing w:after="40" w:before="40"/>
            </w:pPr>
            <w:r>
              <w:rPr>
                <w:rFonts w:ascii="Calibri" w:hAnsi="Calibri"/>
                <w:b/>
                <w:i w:val="0"/>
                <w:sz w:val="17"/>
              </w:rPr>
              <w:t>Örtü naylonu</w:t>
            </w:r>
          </w:p>
        </w:tc>
        <w:tc>
          <w:tcPr>
            <w:tcW w:type="dxa" w:w="4762"/>
          </w:tcPr>
          <w:p>
            <w:pPr>
              <w:spacing w:after="40" w:before="40"/>
            </w:pPr>
            <w:r>
              <w:rPr>
                <w:rFonts w:ascii="Calibri" w:hAnsi="Calibri"/>
                <w:b w:val="0"/>
                <w:i w:val="0"/>
                <w:sz w:val="17"/>
              </w:rPr>
              <w:t>4×5 m, 20 mikron, şeffaf</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26</w:t>
            </w:r>
          </w:p>
        </w:tc>
        <w:tc>
          <w:tcPr>
            <w:tcW w:type="dxa" w:w="2438"/>
            <w:shd w:val="clear" w:fill="F4F8FC"/>
          </w:tcPr>
          <w:p>
            <w:pPr>
              <w:spacing w:after="40" w:before="40"/>
            </w:pPr>
            <w:r>
              <w:rPr>
                <w:rFonts w:ascii="Calibri" w:hAnsi="Calibri"/>
                <w:b/>
                <w:i w:val="0"/>
                <w:sz w:val="17"/>
              </w:rPr>
              <w:t>Zemin koruma keçesi</w:t>
            </w:r>
          </w:p>
        </w:tc>
        <w:tc>
          <w:tcPr>
            <w:tcW w:type="dxa" w:w="4762"/>
            <w:shd w:val="clear" w:fill="F4F8FC"/>
          </w:tcPr>
          <w:p>
            <w:pPr>
              <w:spacing w:after="40" w:before="40"/>
            </w:pPr>
            <w:r>
              <w:rPr>
                <w:rFonts w:ascii="Calibri" w:hAnsi="Calibri"/>
                <w:b w:val="0"/>
                <w:i w:val="0"/>
                <w:sz w:val="17"/>
              </w:rPr>
              <w:t>1×10 m, emici üst yüzeyli, kaymaz</w:t>
            </w:r>
          </w:p>
        </w:tc>
        <w:tc>
          <w:tcPr>
            <w:tcW w:type="dxa" w:w="850"/>
            <w:shd w:val="clear" w:fill="F4F8FC"/>
          </w:tcPr>
          <w:p>
            <w:pPr>
              <w:spacing w:after="40" w:before="40"/>
              <w:jc w:val="center"/>
            </w:pPr>
            <w:r>
              <w:rPr>
                <w:rFonts w:ascii="Calibri" w:hAnsi="Calibri"/>
                <w:b w:val="0"/>
                <w:i w:val="0"/>
                <w:sz w:val="17"/>
              </w:rPr>
              <w:t>Rulo</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27</w:t>
            </w:r>
          </w:p>
        </w:tc>
        <w:tc>
          <w:tcPr>
            <w:tcW w:type="dxa" w:w="2438"/>
          </w:tcPr>
          <w:p>
            <w:pPr>
              <w:spacing w:after="40" w:before="40"/>
            </w:pPr>
            <w:r>
              <w:rPr>
                <w:rFonts w:ascii="Calibri" w:hAnsi="Calibri"/>
                <w:b/>
                <w:i w:val="0"/>
                <w:sz w:val="17"/>
              </w:rPr>
              <w:t>Zımpara, elde</w:t>
            </w:r>
          </w:p>
        </w:tc>
        <w:tc>
          <w:tcPr>
            <w:tcW w:type="dxa" w:w="4762"/>
          </w:tcPr>
          <w:p>
            <w:pPr>
              <w:spacing w:after="40" w:before="40"/>
            </w:pPr>
            <w:r>
              <w:rPr>
                <w:rFonts w:ascii="Calibri" w:hAnsi="Calibri"/>
                <w:b w:val="0"/>
                <w:i w:val="0"/>
                <w:sz w:val="17"/>
              </w:rPr>
              <w:t>Su geçirmez veya kuru tip, 25'li paket. Kum numarası satır bazında yazılır (80 / 120 / 180); her kum numarası ayrı satırda fiyatlandırılır</w:t>
            </w:r>
          </w:p>
        </w:tc>
        <w:tc>
          <w:tcPr>
            <w:tcW w:type="dxa" w:w="850"/>
          </w:tcPr>
          <w:p>
            <w:pPr>
              <w:spacing w:after="40" w:before="40"/>
              <w:jc w:val="center"/>
            </w:pPr>
            <w:r>
              <w:rPr>
                <w:rFonts w:ascii="Calibri" w:hAnsi="Calibri"/>
                <w:b w:val="0"/>
                <w:i w:val="0"/>
                <w:sz w:val="17"/>
              </w:rPr>
              <w:t>Paket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28</w:t>
            </w:r>
          </w:p>
        </w:tc>
        <w:tc>
          <w:tcPr>
            <w:tcW w:type="dxa" w:w="2438"/>
            <w:shd w:val="clear" w:fill="F4F8FC"/>
          </w:tcPr>
          <w:p>
            <w:pPr>
              <w:spacing w:after="40" w:before="40"/>
            </w:pPr>
            <w:r>
              <w:rPr>
                <w:rFonts w:ascii="Calibri" w:hAnsi="Calibri"/>
                <w:b/>
                <w:i w:val="0"/>
                <w:sz w:val="17"/>
              </w:rPr>
              <w:t>Zımpara, makine (cırt bantlı disk)</w:t>
            </w:r>
          </w:p>
        </w:tc>
        <w:tc>
          <w:tcPr>
            <w:tcW w:type="dxa" w:w="4762"/>
            <w:shd w:val="clear" w:fill="F4F8FC"/>
          </w:tcPr>
          <w:p>
            <w:pPr>
              <w:spacing w:after="40" w:before="40"/>
            </w:pPr>
            <w:r>
              <w:rPr>
                <w:rFonts w:ascii="Calibri" w:hAnsi="Calibri"/>
                <w:b w:val="0"/>
                <w:i w:val="0"/>
                <w:sz w:val="17"/>
              </w:rPr>
              <w:t>125 mm, 80–240 kum, delikli, 50'li</w:t>
            </w:r>
          </w:p>
        </w:tc>
        <w:tc>
          <w:tcPr>
            <w:tcW w:type="dxa" w:w="850"/>
            <w:shd w:val="clear" w:fill="F4F8FC"/>
          </w:tcPr>
          <w:p>
            <w:pPr>
              <w:spacing w:after="40" w:before="40"/>
              <w:jc w:val="center"/>
            </w:pPr>
            <w:r>
              <w:rPr>
                <w:rFonts w:ascii="Calibri" w:hAnsi="Calibri"/>
                <w:b w:val="0"/>
                <w:i w:val="0"/>
                <w:sz w:val="17"/>
              </w:rPr>
              <w:t>Paket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29</w:t>
            </w:r>
          </w:p>
        </w:tc>
        <w:tc>
          <w:tcPr>
            <w:tcW w:type="dxa" w:w="2438"/>
          </w:tcPr>
          <w:p>
            <w:pPr>
              <w:spacing w:after="40" w:before="40"/>
            </w:pPr>
            <w:r>
              <w:rPr>
                <w:rFonts w:ascii="Calibri" w:hAnsi="Calibri"/>
                <w:b/>
                <w:i w:val="0"/>
                <w:sz w:val="17"/>
              </w:rPr>
              <w:t>Spatula ve mala takımı</w:t>
            </w:r>
          </w:p>
        </w:tc>
        <w:tc>
          <w:tcPr>
            <w:tcW w:type="dxa" w:w="4762"/>
          </w:tcPr>
          <w:p>
            <w:pPr>
              <w:spacing w:after="40" w:before="40"/>
            </w:pPr>
            <w:r>
              <w:rPr>
                <w:rFonts w:ascii="Calibri" w:hAnsi="Calibri"/>
                <w:b w:val="0"/>
                <w:i w:val="0"/>
                <w:sz w:val="17"/>
              </w:rPr>
              <w:t>6 / 10 / 15 cm paslanmaz spatula + çelik mala</w:t>
            </w:r>
          </w:p>
        </w:tc>
        <w:tc>
          <w:tcPr>
            <w:tcW w:type="dxa" w:w="850"/>
          </w:tcPr>
          <w:p>
            <w:pPr>
              <w:spacing w:after="40" w:before="40"/>
              <w:jc w:val="center"/>
            </w:pPr>
            <w:r>
              <w:rPr>
                <w:rFonts w:ascii="Calibri" w:hAnsi="Calibri"/>
                <w:b w:val="0"/>
                <w:i w:val="0"/>
                <w:sz w:val="17"/>
              </w:rPr>
              <w:t>Takım</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30</w:t>
            </w:r>
          </w:p>
        </w:tc>
        <w:tc>
          <w:tcPr>
            <w:tcW w:type="dxa" w:w="2438"/>
            <w:shd w:val="clear" w:fill="F4F8FC"/>
          </w:tcPr>
          <w:p>
            <w:pPr>
              <w:spacing w:after="40" w:before="40"/>
            </w:pPr>
            <w:r>
              <w:rPr>
                <w:rFonts w:ascii="Calibri" w:hAnsi="Calibri"/>
                <w:b/>
                <w:i w:val="0"/>
                <w:sz w:val="17"/>
              </w:rPr>
              <w:t>Boya karıştırıcı ucu</w:t>
            </w:r>
          </w:p>
        </w:tc>
        <w:tc>
          <w:tcPr>
            <w:tcW w:type="dxa" w:w="4762"/>
            <w:shd w:val="clear" w:fill="F4F8FC"/>
          </w:tcPr>
          <w:p>
            <w:pPr>
              <w:spacing w:after="40" w:before="40"/>
            </w:pPr>
            <w:r>
              <w:rPr>
                <w:rFonts w:ascii="Calibri" w:hAnsi="Calibri"/>
                <w:b w:val="0"/>
                <w:i w:val="0"/>
                <w:sz w:val="17"/>
              </w:rPr>
              <w:t>Matkap uyumlu, 600 mm, helezon</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31</w:t>
            </w:r>
          </w:p>
        </w:tc>
        <w:tc>
          <w:tcPr>
            <w:tcW w:type="dxa" w:w="2438"/>
          </w:tcPr>
          <w:p>
            <w:pPr>
              <w:spacing w:after="40" w:before="40"/>
            </w:pPr>
            <w:r>
              <w:rPr>
                <w:rFonts w:ascii="Calibri" w:hAnsi="Calibri"/>
                <w:b/>
                <w:i w:val="0"/>
                <w:sz w:val="17"/>
              </w:rPr>
              <w:t>Tiner, sentetik</w:t>
            </w:r>
          </w:p>
        </w:tc>
        <w:tc>
          <w:tcPr>
            <w:tcW w:type="dxa" w:w="4762"/>
          </w:tcPr>
          <w:p>
            <w:pPr>
              <w:spacing w:after="40" w:before="40"/>
            </w:pPr>
            <w:r>
              <w:rPr>
                <w:rFonts w:ascii="Calibri" w:hAnsi="Calibri"/>
                <w:b w:val="0"/>
                <w:i w:val="0"/>
                <w:sz w:val="17"/>
              </w:rPr>
              <w:t>Sentetik boya inceltici, 5 litre, güvenlik bilgi formu (SDS) ile birlikte</w:t>
            </w:r>
          </w:p>
        </w:tc>
        <w:tc>
          <w:tcPr>
            <w:tcW w:type="dxa" w:w="850"/>
          </w:tcPr>
          <w:p>
            <w:pPr>
              <w:spacing w:after="40" w:before="40"/>
              <w:jc w:val="center"/>
            </w:pPr>
            <w:r>
              <w:rPr>
                <w:rFonts w:ascii="Calibri" w:hAnsi="Calibri"/>
                <w:b w:val="0"/>
                <w:i w:val="0"/>
                <w:sz w:val="17"/>
              </w:rPr>
              <w:t>Bidon</w:t>
            </w:r>
          </w:p>
        </w:tc>
        <w:tc>
          <w:tcPr>
            <w:tcW w:type="dxa" w:w="850"/>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2026-09-25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