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rFonts w:ascii="Calibri" w:hAnsi="Calibri"/>
          <w:b/>
          <w:i w:val="0"/>
          <w:color w:val="1F2937"/>
          <w:sz w:val="34"/>
        </w:rPr>
        <w:t>TEKNİK ŞARTNAME</w:t>
      </w:r>
    </w:p>
    <w:p>
      <w:pPr>
        <w:spacing w:after="200" w:before="0"/>
      </w:pPr>
      <w:r>
        <w:rPr>
          <w:rFonts w:ascii="Calibri" w:hAnsi="Calibri"/>
          <w:b/>
          <w:i w:val="0"/>
          <w:color w:val="CA4B04"/>
          <w:sz w:val="24"/>
        </w:rPr>
        <w:t>ELEKTRIK MALZEMESI</w:t>
      </w:r>
    </w:p>
    <w:tbl>
      <w:tblPr>
        <w:tblW w:type="auto" w:w="0"/>
        <w:jc w:val="left"/>
        <w:tblLook w:firstColumn="1" w:firstRow="1" w:lastColumn="0" w:lastRow="0" w:noHBand="0" w:noVBand="1" w:val="04A0"/>
      </w:tblPr>
      <w:tblGrid>
        <w:gridCol w:w="5043"/>
        <w:gridCol w:w="5043"/>
      </w:tblGrid>
      <w:tr>
        <w:tc>
          <w:tcPr>
            <w:tcW w:type="dxa" w:w="2494"/>
            <w:shd w:val="clear" w:fill="F4F8FC"/>
          </w:tcPr>
          <w:p>
            <w:pPr>
              <w:spacing w:after="40"/>
            </w:pPr>
            <w:r>
              <w:rPr>
                <w:rFonts w:ascii="Calibri" w:hAnsi="Calibri"/>
                <w:b/>
                <w:i w:val="0"/>
                <w:color w:val="1F2937"/>
                <w:sz w:val="18"/>
              </w:rPr>
              <w:t>İdare / Kurum</w:t>
            </w:r>
          </w:p>
        </w:tc>
        <w:tc>
          <w:tcPr>
            <w:tcW w:type="dxa" w:w="7030"/>
          </w:tcPr>
          <w:p>
            <w:pPr>
              <w:spacing w:after="40"/>
            </w:pPr>
            <w:r>
              <w:rPr>
                <w:rFonts w:ascii="Calibri" w:hAnsi="Calibri"/>
                <w:b w:val="0"/>
                <w:i w:val="0"/>
                <w:sz w:val="18"/>
              </w:rPr>
              <w:t>…</w:t>
            </w:r>
          </w:p>
        </w:tc>
      </w:tr>
      <w:tr>
        <w:tc>
          <w:tcPr>
            <w:tcW w:type="dxa" w:w="2494"/>
            <w:shd w:val="clear" w:fill="F4F8FC"/>
          </w:tcPr>
          <w:p>
            <w:pPr>
              <w:spacing w:after="40"/>
            </w:pPr>
            <w:r>
              <w:rPr>
                <w:rFonts w:ascii="Calibri" w:hAnsi="Calibri"/>
                <w:b/>
                <w:i w:val="0"/>
                <w:color w:val="1F2937"/>
                <w:sz w:val="18"/>
              </w:rPr>
              <w:t>İşin adı</w:t>
            </w:r>
          </w:p>
        </w:tc>
        <w:tc>
          <w:tcPr>
            <w:tcW w:type="dxa" w:w="7030"/>
          </w:tcPr>
          <w:p>
            <w:pPr>
              <w:spacing w:after="40"/>
            </w:pPr>
            <w:r>
              <w:rPr>
                <w:rFonts w:ascii="Calibri" w:hAnsi="Calibri"/>
                <w:b w:val="0"/>
                <w:i w:val="0"/>
                <w:sz w:val="18"/>
              </w:rPr>
              <w:t>Elektrik Malzemesi Alımı</w:t>
            </w:r>
          </w:p>
        </w:tc>
      </w:tr>
      <w:tr>
        <w:tc>
          <w:tcPr>
            <w:tcW w:type="dxa" w:w="2494"/>
            <w:shd w:val="clear" w:fill="F4F8FC"/>
          </w:tcPr>
          <w:p>
            <w:pPr>
              <w:spacing w:after="40"/>
            </w:pPr>
            <w:r>
              <w:rPr>
                <w:rFonts w:ascii="Calibri" w:hAnsi="Calibri"/>
                <w:b/>
                <w:i w:val="0"/>
                <w:color w:val="1F2937"/>
                <w:sz w:val="18"/>
              </w:rPr>
              <w:t>Şartname tarihi</w:t>
            </w:r>
          </w:p>
        </w:tc>
        <w:tc>
          <w:tcPr>
            <w:tcW w:type="dxa" w:w="7030"/>
          </w:tcPr>
          <w:p>
            <w:pPr>
              <w:spacing w:after="40"/>
            </w:pPr>
            <w:r>
              <w:rPr>
                <w:rFonts w:ascii="Calibri" w:hAnsi="Calibri"/>
                <w:b w:val="0"/>
                <w:i w:val="0"/>
                <w:sz w:val="18"/>
              </w:rPr>
              <w:t>…</w:t>
            </w:r>
          </w:p>
        </w:tc>
      </w:tr>
      <w:tr>
        <w:tc>
          <w:tcPr>
            <w:tcW w:type="dxa" w:w="2494"/>
            <w:shd w:val="clear" w:fill="F4F8FC"/>
          </w:tcPr>
          <w:p>
            <w:pPr>
              <w:spacing w:after="40"/>
            </w:pPr>
            <w:r>
              <w:rPr>
                <w:rFonts w:ascii="Calibri" w:hAnsi="Calibri"/>
                <w:b/>
                <w:i w:val="0"/>
                <w:color w:val="1F2937"/>
                <w:sz w:val="18"/>
              </w:rPr>
              <w:t>Doküman no</w:t>
            </w:r>
          </w:p>
        </w:tc>
        <w:tc>
          <w:tcPr>
            <w:tcW w:type="dxa" w:w="7030"/>
          </w:tcPr>
          <w:p>
            <w:pPr>
              <w:spacing w:after="40"/>
            </w:pPr>
            <w:r>
              <w:rPr>
                <w:rFonts w:ascii="Calibri" w:hAnsi="Calibri"/>
                <w:b w:val="0"/>
                <w:i w:val="0"/>
                <w:sz w:val="18"/>
              </w:rPr>
              <w:t>…</w:t>
            </w:r>
          </w:p>
        </w:tc>
      </w:tr>
    </w:tbl>
    <w:p>
      <w:pPr>
        <w:spacing w:after="160" w:before="0"/>
      </w:pPr>
    </w:p>
    <w:p>
      <w:pPr>
        <w:spacing w:before="200" w:after="100"/>
      </w:pPr>
      <w:r>
        <w:rPr>
          <w:rFonts w:ascii="Calibri" w:hAnsi="Calibri"/>
          <w:b/>
          <w:i w:val="0"/>
          <w:color w:val="1F2937"/>
          <w:sz w:val="22"/>
        </w:rPr>
        <w:t>1. Kapsam</w:t>
      </w:r>
    </w:p>
    <w:p>
      <w:pPr>
        <w:spacing w:after="120" w:before="0"/>
      </w:pPr>
      <w:r>
        <w:rPr>
          <w:rFonts w:ascii="Calibri" w:hAnsi="Calibri"/>
          <w:b w:val="0"/>
          <w:i w:val="0"/>
          <w:sz w:val="20"/>
        </w:rPr>
        <w:t>Bu teknik şartname, aşağıdaki tabloda cinsi, teknik özellikleri, birimi ve miktarı belirtilen elektrik malzemesi kalemlerinin satın alınmasına ilişkin teknik kriterleri kapsar.</w:t>
      </w:r>
    </w:p>
    <w:p>
      <w:pPr>
        <w:spacing w:before="200" w:after="100"/>
      </w:pPr>
      <w:r>
        <w:rPr>
          <w:rFonts w:ascii="Calibri" w:hAnsi="Calibri"/>
          <w:b/>
          <w:i w:val="0"/>
          <w:color w:val="1F2937"/>
          <w:sz w:val="22"/>
        </w:rPr>
        <w:t>2. Standartlara uygunluk</w:t>
      </w:r>
    </w:p>
    <w:p>
      <w:pPr>
        <w:spacing w:after="120" w:before="0"/>
      </w:pPr>
      <w:r>
        <w:rPr>
          <w:rFonts w:ascii="Calibri" w:hAnsi="Calibri"/>
          <w:b w:val="0"/>
          <w:i w:val="0"/>
          <w:sz w:val="20"/>
        </w:rPr>
        <w:t>Teklif edilen ürünlerin, tabloda atıf yapılan ulusal ve/veya uluslararası standartlara uygun olması zorunludur. İlgili mevzuat gereği CE işareti taşıması gereken ürünlerde CE işareti ve AB uygunluk beyanı aranır. Biyosidal ürünlerde Sağlık Bakanlığı ruhsatı, kişisel koruyucu donanımlarda ise ilgili standartlara göre düzenlenmiş uygunluk belgeleri istenir.</w:t>
      </w:r>
    </w:p>
    <w:p>
      <w:pPr>
        <w:spacing w:before="200" w:after="100"/>
      </w:pPr>
      <w:r>
        <w:rPr>
          <w:rFonts w:ascii="Calibri" w:hAnsi="Calibri"/>
          <w:b/>
          <w:i w:val="0"/>
          <w:color w:val="1F2937"/>
          <w:sz w:val="22"/>
        </w:rPr>
        <w:t>3. Marka ve model</w:t>
      </w:r>
    </w:p>
    <w:p>
      <w:pPr>
        <w:spacing w:after="120" w:before="0"/>
      </w:pPr>
      <w:r>
        <w:rPr>
          <w:rFonts w:ascii="Calibri" w:hAnsi="Calibri"/>
          <w:b w:val="0"/>
          <w:i w:val="0"/>
          <w:sz w:val="20"/>
        </w:rPr>
        <w:t>Teknik özellikler, belirli bir marka veya modele yönlendirme yapmayacak biçimde, ölçülebilir teknik kriterlerle tanımlanmıştır. Tabloda hiçbir kalem için marka, model, patent, menşei, kaynak veya ürün belirtilmemiştir. 4734 sayılı Kamu İhale Kanunu'nun 12 nci maddesi uyarınca, ulusal ve/veya uluslararası teknik standartların bulunmaması veya teknik özelliklerin belirlenmesinin mümkün olmaması hâllerinde, “veya dengi” ifadesine yer verilmek şartıyla marka veya model belirtilebilir. Bu hâlde denkliğin hangi teknik özelliklere göre değerlendirileceğinin ayrıca yazılması, değerlendirme aşamasındaki tartışmayı önler.</w:t>
      </w:r>
    </w:p>
    <w:p>
      <w:pPr>
        <w:spacing w:before="200" w:after="100"/>
      </w:pPr>
      <w:r>
        <w:rPr>
          <w:rFonts w:ascii="Calibri" w:hAnsi="Calibri"/>
          <w:b/>
          <w:i w:val="0"/>
          <w:color w:val="1F2937"/>
          <w:sz w:val="22"/>
        </w:rPr>
        <w:t>4. Ambalaj ve etiketleme</w:t>
      </w:r>
    </w:p>
    <w:p>
      <w:pPr>
        <w:spacing w:after="120" w:before="0"/>
      </w:pPr>
      <w:r>
        <w:rPr>
          <w:rFonts w:ascii="Calibri" w:hAnsi="Calibri"/>
          <w:b w:val="0"/>
          <w:i w:val="0"/>
          <w:sz w:val="20"/>
        </w:rPr>
        <w:t>Ürünler orijinal ambalajında, ambalajı açılmamış ve zarar görmemiş olarak teslim edilir. Ambalaj üzerinde ürün adı, üretici/ithalatçı bilgisi, parti veya seri numarası, üretim tarihi ve varsa son kullanma tarihi okunaklı biçimde bulunur. Türkçe kullanım talimatı gerektiren ürünlerde talimat ambalajda veya ekinde yer alır.</w:t>
      </w:r>
    </w:p>
    <w:p>
      <w:pPr>
        <w:spacing w:before="200" w:after="100"/>
      </w:pPr>
      <w:r>
        <w:rPr>
          <w:rFonts w:ascii="Calibri" w:hAnsi="Calibri"/>
          <w:b/>
          <w:i w:val="0"/>
          <w:color w:val="1F2937"/>
          <w:sz w:val="22"/>
        </w:rPr>
        <w:t>5. Raf ömrü</w:t>
      </w:r>
    </w:p>
    <w:p>
      <w:pPr>
        <w:spacing w:after="120" w:before="0"/>
      </w:pPr>
      <w:r>
        <w:rPr>
          <w:rFonts w:ascii="Calibri" w:hAnsi="Calibri"/>
          <w:b w:val="0"/>
          <w:i w:val="0"/>
          <w:sz w:val="20"/>
        </w:rPr>
        <w:t>Son kullanma tarihi olan ürünlerde, teslim tarihi itibarıyla toplam raf ömrünün en az %75'i kalmış olmalıdır. Bu koşulu sağlamayan ürünler kabul edilmez.</w:t>
      </w:r>
    </w:p>
    <w:p>
      <w:pPr>
        <w:spacing w:before="200" w:after="100"/>
      </w:pPr>
      <w:r>
        <w:rPr>
          <w:rFonts w:ascii="Calibri" w:hAnsi="Calibri"/>
          <w:b/>
          <w:i w:val="0"/>
          <w:color w:val="1F2937"/>
          <w:sz w:val="22"/>
        </w:rPr>
        <w:t>6. Güvenlik bilgi formu</w:t>
      </w:r>
    </w:p>
    <w:p>
      <w:pPr>
        <w:spacing w:after="120" w:before="0"/>
      </w:pPr>
      <w:r>
        <w:rPr>
          <w:rFonts w:ascii="Calibri" w:hAnsi="Calibri"/>
          <w:b w:val="0"/>
          <w:i w:val="0"/>
          <w:sz w:val="20"/>
        </w:rPr>
        <w:t>Kimyasal ürünlerde, ilgili mevzuata uygun düzenlenmiş güncel Türkçe Güvenlik Bilgi Formu (GBF/SDS) teslimatla birlikte verilir.</w:t>
      </w:r>
    </w:p>
    <w:p>
      <w:pPr>
        <w:spacing w:before="200" w:after="100"/>
      </w:pPr>
      <w:r>
        <w:rPr>
          <w:rFonts w:ascii="Calibri" w:hAnsi="Calibri"/>
          <w:b/>
          <w:i w:val="0"/>
          <w:color w:val="1F2937"/>
          <w:sz w:val="22"/>
        </w:rPr>
        <w:t>7. Numune</w:t>
      </w:r>
    </w:p>
    <w:p>
      <w:pPr>
        <w:spacing w:after="120" w:before="0"/>
      </w:pPr>
      <w:r>
        <w:rPr>
          <w:rFonts w:ascii="Calibri" w:hAnsi="Calibri"/>
          <w:b w:val="0"/>
          <w:i w:val="0"/>
          <w:sz w:val="20"/>
        </w:rPr>
        <w:t>İdare gerekli gördüğü kalemler için, değerlendirme aşamasında ücretsiz numune isteyebilir. Numuneler teklifle birlikte veya idarenin belirleyeceği süre içinde teslim edilir. Numunesi istenip verilmeyen kalem değerlendirme dışı bırakılabilir.</w:t>
      </w:r>
    </w:p>
    <w:p>
      <w:pPr>
        <w:spacing w:before="200" w:after="100"/>
      </w:pPr>
      <w:r>
        <w:rPr>
          <w:rFonts w:ascii="Calibri" w:hAnsi="Calibri"/>
          <w:b/>
          <w:i w:val="0"/>
          <w:color w:val="1F2937"/>
          <w:sz w:val="22"/>
        </w:rPr>
        <w:t>8. Teslim yeri ve süresi</w:t>
      </w:r>
    </w:p>
    <w:p>
      <w:pPr>
        <w:spacing w:after="120" w:before="0"/>
      </w:pPr>
      <w:r>
        <w:rPr>
          <w:rFonts w:ascii="Calibri" w:hAnsi="Calibri"/>
          <w:b w:val="0"/>
          <w:i w:val="0"/>
          <w:sz w:val="20"/>
        </w:rPr>
        <w:t>Teslimat, idarenin bildireceği adrese/adreslere yüklenici tarafından, nakliye ve boşaltma yüklenici sorumluluğunda olmak üzere yapılır. Teslim süresi sipariş bildiriminden itibaren en fazla … takvim günüdür. Birden fazla teslim noktası varsa her nokta için miktar ayrıca bildirilir.</w:t>
      </w:r>
    </w:p>
    <w:p>
      <w:pPr>
        <w:spacing w:before="200" w:after="100"/>
      </w:pPr>
      <w:r>
        <w:rPr>
          <w:rFonts w:ascii="Calibri" w:hAnsi="Calibri"/>
          <w:b/>
          <w:i w:val="0"/>
          <w:color w:val="1F2937"/>
          <w:sz w:val="22"/>
        </w:rPr>
        <w:t>9. Kısmi teslim</w:t>
      </w:r>
    </w:p>
    <w:p>
      <w:pPr>
        <w:spacing w:after="120" w:before="0"/>
      </w:pPr>
      <w:r>
        <w:rPr>
          <w:rFonts w:ascii="Calibri" w:hAnsi="Calibri"/>
          <w:b w:val="0"/>
          <w:i w:val="0"/>
          <w:sz w:val="20"/>
        </w:rPr>
        <w:t>İdarenin onayı olmadan kısmi teslimat yapılamaz. Onaylı kısmi teslimlerde her sevkiyat için ayrı irsaliye düzenlenir.</w:t>
      </w:r>
    </w:p>
    <w:p>
      <w:pPr>
        <w:spacing w:before="200" w:after="100"/>
      </w:pPr>
      <w:r>
        <w:rPr>
          <w:rFonts w:ascii="Calibri" w:hAnsi="Calibri"/>
          <w:b/>
          <w:i w:val="0"/>
          <w:color w:val="1F2937"/>
          <w:sz w:val="22"/>
        </w:rPr>
        <w:t>10. Muayene ve kabul</w:t>
      </w:r>
    </w:p>
    <w:p>
      <w:pPr>
        <w:spacing w:after="120" w:before="0"/>
      </w:pPr>
      <w:r>
        <w:rPr>
          <w:rFonts w:ascii="Calibri" w:hAnsi="Calibri"/>
          <w:b w:val="0"/>
          <w:i w:val="0"/>
          <w:sz w:val="20"/>
        </w:rPr>
        <w:t>Teslim edilen ürünler, idare tarafından oluşturulacak muayene ve kabul komisyonu tarafından bu şartnamedeki kriterlere göre incelenir. Uygun bulunmayan kalemler tutanakla tespit edilir ve yüklenici tarafından en geç … takvim günü içinde masrafları kendisine ait olmak üzere değiştirilir.</w:t>
      </w:r>
    </w:p>
    <w:p>
      <w:pPr>
        <w:spacing w:before="200" w:after="100"/>
      </w:pPr>
      <w:r>
        <w:rPr>
          <w:rFonts w:ascii="Calibri" w:hAnsi="Calibri"/>
          <w:b/>
          <w:i w:val="0"/>
          <w:color w:val="1F2937"/>
          <w:sz w:val="22"/>
        </w:rPr>
        <w:t>11. Garanti</w:t>
      </w:r>
    </w:p>
    <w:p>
      <w:pPr>
        <w:spacing w:after="120" w:before="0"/>
      </w:pPr>
      <w:r>
        <w:rPr>
          <w:rFonts w:ascii="Calibri" w:hAnsi="Calibri"/>
          <w:b w:val="0"/>
          <w:i w:val="0"/>
          <w:sz w:val="20"/>
        </w:rPr>
        <w:t>Cihaz, alet ve ekipman niteliğindeki kalemler, teslim tarihinden itibaren en az 2 (iki) yıl üretim hatalarına karşı garantilidir. Garanti kapsamındaki arızalarda değişim veya onarım süresi en fazla … iş günüdür.</w:t>
      </w:r>
    </w:p>
    <w:p>
      <w:pPr>
        <w:spacing w:before="200" w:after="100"/>
      </w:pPr>
      <w:r>
        <w:rPr>
          <w:rFonts w:ascii="Calibri" w:hAnsi="Calibri"/>
          <w:b/>
          <w:i w:val="0"/>
          <w:color w:val="1F2937"/>
          <w:sz w:val="22"/>
        </w:rPr>
        <w:t>12. Sorumluluk</w:t>
      </w:r>
    </w:p>
    <w:p>
      <w:pPr>
        <w:spacing w:after="120" w:before="0"/>
      </w:pPr>
      <w:r>
        <w:rPr>
          <w:rFonts w:ascii="Calibri" w:hAnsi="Calibri"/>
          <w:b w:val="0"/>
          <w:i w:val="0"/>
          <w:sz w:val="20"/>
        </w:rPr>
        <w:t>Ürünlerin taşınması sırasında oluşacak hasar, kayıp ve gecikmelerden yüklenici sorumludur. Hatalı, eksik veya şartnameye aykırı teslimattan doğan zararlar yükleniciye aittir.</w:t>
      </w:r>
    </w:p>
    <w:p>
      <w:pPr>
        <w:spacing w:before="200" w:after="100"/>
      </w:pPr>
      <w:r>
        <w:rPr>
          <w:rFonts w:ascii="Calibri" w:hAnsi="Calibri"/>
          <w:b/>
          <w:i w:val="0"/>
          <w:color w:val="1F2937"/>
          <w:sz w:val="22"/>
        </w:rPr>
        <w:t>13. Fiyat ve fatura</w:t>
      </w:r>
    </w:p>
    <w:p>
      <w:pPr>
        <w:spacing w:after="120" w:before="0"/>
      </w:pPr>
      <w:r>
        <w:rPr>
          <w:rFonts w:ascii="Calibri" w:hAnsi="Calibri"/>
          <w:b w:val="0"/>
          <w:i w:val="0"/>
          <w:sz w:val="20"/>
        </w:rPr>
        <w:t>Birim fiyatlar KDV hariç verilir; KDV oranı ayrı satırda gösterilir. Teklif geçerlilik süresi en az … gündür. Fatura, teslimatı takiben tek fatura hâlinde düzenlenir.</w:t>
      </w:r>
    </w:p>
    <w:p>
      <w:pPr>
        <w:spacing w:before="280" w:after="100"/>
      </w:pPr>
      <w:r>
        <w:rPr>
          <w:rFonts w:ascii="Calibri" w:hAnsi="Calibri"/>
          <w:b/>
          <w:i w:val="0"/>
          <w:color w:val="1F2937"/>
          <w:sz w:val="26"/>
        </w:rPr>
        <w:t>14. Kalem listesi ve teknik özellikler</w:t>
      </w:r>
    </w:p>
    <w:p>
      <w:pPr>
        <w:spacing w:after="160" w:before="0"/>
      </w:pPr>
      <w:r>
        <w:rPr>
          <w:rFonts w:ascii="Calibri" w:hAnsi="Calibri"/>
          <w:b w:val="0"/>
          <w:i w:val="0"/>
          <w:color w:val="5F7891"/>
          <w:sz w:val="18"/>
        </w:rPr>
        <w:t>Aşağıdaki tabloda 48 kalem yer almaktadır. Kurumunuzun ihtiyacı olmayan satırları silin, gereken satırları ekleyin ve “Miktar” sütununu doldurun.</w:t>
      </w:r>
    </w:p>
    <w:tbl>
      <w:tblPr>
        <w:tblStyle w:val="TableGrid"/>
        <w:tblW w:type="auto" w:w="0"/>
        <w:jc w:val="center"/>
        <w:tblLook w:firstColumn="1" w:firstRow="1" w:lastColumn="0" w:lastRow="0" w:noHBand="0" w:noVBand="1" w:val="04A0"/>
      </w:tblPr>
      <w:tblGrid>
        <w:gridCol w:w="2017"/>
        <w:gridCol w:w="2017"/>
        <w:gridCol w:w="2017"/>
        <w:gridCol w:w="2017"/>
        <w:gridCol w:w="2017"/>
      </w:tblGrid>
      <w:tr>
        <w:tc>
          <w:tcPr>
            <w:tcW w:type="dxa" w:w="737"/>
            <w:shd w:val="clear" w:fill="1F2937"/>
          </w:tcPr>
          <w:p>
            <w:pPr>
              <w:spacing w:after="40" w:before="40"/>
              <w:jc w:val="center"/>
            </w:pPr>
            <w:r>
              <w:rPr>
                <w:rFonts w:ascii="Calibri" w:hAnsi="Calibri"/>
                <w:b/>
                <w:i w:val="0"/>
                <w:color w:val="FFFFFF"/>
                <w:sz w:val="18"/>
              </w:rPr>
              <w:t>Sıra No</w:t>
            </w:r>
          </w:p>
        </w:tc>
        <w:tc>
          <w:tcPr>
            <w:tcW w:type="dxa" w:w="2438"/>
            <w:shd w:val="clear" w:fill="1F2937"/>
          </w:tcPr>
          <w:p>
            <w:pPr>
              <w:spacing w:after="40" w:before="40"/>
              <w:jc w:val="center"/>
            </w:pPr>
            <w:r>
              <w:rPr>
                <w:rFonts w:ascii="Calibri" w:hAnsi="Calibri"/>
                <w:b/>
                <w:i w:val="0"/>
                <w:color w:val="FFFFFF"/>
                <w:sz w:val="18"/>
              </w:rPr>
              <w:t>Malzemenin Cinsi</w:t>
            </w:r>
          </w:p>
        </w:tc>
        <w:tc>
          <w:tcPr>
            <w:tcW w:type="dxa" w:w="4762"/>
            <w:shd w:val="clear" w:fill="1F2937"/>
          </w:tcPr>
          <w:p>
            <w:pPr>
              <w:spacing w:after="40" w:before="40"/>
              <w:jc w:val="center"/>
            </w:pPr>
            <w:r>
              <w:rPr>
                <w:rFonts w:ascii="Calibri" w:hAnsi="Calibri"/>
                <w:b/>
                <w:i w:val="0"/>
                <w:color w:val="FFFFFF"/>
                <w:sz w:val="18"/>
              </w:rPr>
              <w:t>Teknik Özellikleri</w:t>
            </w:r>
          </w:p>
        </w:tc>
        <w:tc>
          <w:tcPr>
            <w:tcW w:type="dxa" w:w="850"/>
            <w:shd w:val="clear" w:fill="1F2937"/>
          </w:tcPr>
          <w:p>
            <w:pPr>
              <w:spacing w:after="40" w:before="40"/>
              <w:jc w:val="center"/>
            </w:pPr>
            <w:r>
              <w:rPr>
                <w:rFonts w:ascii="Calibri" w:hAnsi="Calibri"/>
                <w:b/>
                <w:i w:val="0"/>
                <w:color w:val="FFFFFF"/>
                <w:sz w:val="18"/>
              </w:rPr>
              <w:t>Birimi</w:t>
            </w:r>
          </w:p>
        </w:tc>
        <w:tc>
          <w:tcPr>
            <w:tcW w:type="dxa" w:w="850"/>
            <w:shd w:val="clear" w:fill="1F2937"/>
          </w:tcPr>
          <w:p>
            <w:pPr>
              <w:spacing w:after="40" w:before="40"/>
              <w:jc w:val="center"/>
            </w:pPr>
            <w:r>
              <w:rPr>
                <w:rFonts w:ascii="Calibri" w:hAnsi="Calibri"/>
                <w:b/>
                <w:i w:val="0"/>
                <w:color w:val="FFFFFF"/>
                <w:sz w:val="18"/>
              </w:rPr>
              <w:t>Miktarı</w:t>
            </w:r>
          </w:p>
        </w:tc>
      </w:tr>
      <w:tr>
        <w:tc>
          <w:tcPr>
            <w:tcW w:type="dxa" w:w="737"/>
          </w:tcPr>
          <w:p>
            <w:pPr>
              <w:spacing w:after="40" w:before="40"/>
              <w:jc w:val="center"/>
            </w:pPr>
            <w:r>
              <w:rPr>
                <w:rFonts w:ascii="Calibri" w:hAnsi="Calibri"/>
                <w:b w:val="0"/>
                <w:i w:val="0"/>
                <w:sz w:val="17"/>
              </w:rPr>
              <w:t>1</w:t>
            </w:r>
          </w:p>
        </w:tc>
        <w:tc>
          <w:tcPr>
            <w:tcW w:type="dxa" w:w="2438"/>
          </w:tcPr>
          <w:p>
            <w:pPr>
              <w:spacing w:after="40" w:before="40"/>
            </w:pPr>
            <w:r>
              <w:rPr>
                <w:rFonts w:ascii="Calibri" w:hAnsi="Calibri"/>
                <w:b/>
                <w:i w:val="0"/>
                <w:sz w:val="17"/>
              </w:rPr>
              <w:t>NYA kablo (H07V-U/R) 1,5 mm²</w:t>
            </w:r>
          </w:p>
        </w:tc>
        <w:tc>
          <w:tcPr>
            <w:tcW w:type="dxa" w:w="4762"/>
          </w:tcPr>
          <w:p>
            <w:pPr>
              <w:spacing w:after="40" w:before="40"/>
            </w:pPr>
            <w:r>
              <w:rPr>
                <w:rFonts w:ascii="Calibri" w:hAnsi="Calibri"/>
                <w:b w:val="0"/>
                <w:i w:val="0"/>
                <w:sz w:val="17"/>
              </w:rPr>
              <w:t>Tek damarlı, bakır iletken, 450/750 V, TS EN 50525 uygun, 100 m makara</w:t>
            </w:r>
          </w:p>
        </w:tc>
        <w:tc>
          <w:tcPr>
            <w:tcW w:type="dxa" w:w="850"/>
          </w:tcPr>
          <w:p>
            <w:pPr>
              <w:spacing w:after="40" w:before="40"/>
              <w:jc w:val="center"/>
            </w:pPr>
            <w:r>
              <w:rPr>
                <w:rFonts w:ascii="Calibri" w:hAnsi="Calibri"/>
                <w:b w:val="0"/>
                <w:i w:val="0"/>
                <w:sz w:val="17"/>
              </w:rPr>
              <w:t>Metre</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w:t>
            </w:r>
          </w:p>
        </w:tc>
        <w:tc>
          <w:tcPr>
            <w:tcW w:type="dxa" w:w="2438"/>
            <w:shd w:val="clear" w:fill="F4F8FC"/>
          </w:tcPr>
          <w:p>
            <w:pPr>
              <w:spacing w:after="40" w:before="40"/>
            </w:pPr>
            <w:r>
              <w:rPr>
                <w:rFonts w:ascii="Calibri" w:hAnsi="Calibri"/>
                <w:b/>
                <w:i w:val="0"/>
                <w:sz w:val="17"/>
              </w:rPr>
              <w:t>NYA kablo 2,5 mm²</w:t>
            </w:r>
          </w:p>
        </w:tc>
        <w:tc>
          <w:tcPr>
            <w:tcW w:type="dxa" w:w="4762"/>
            <w:shd w:val="clear" w:fill="F4F8FC"/>
          </w:tcPr>
          <w:p>
            <w:pPr>
              <w:spacing w:after="40" w:before="40"/>
            </w:pPr>
            <w:r>
              <w:rPr>
                <w:rFonts w:ascii="Calibri" w:hAnsi="Calibri"/>
                <w:b w:val="0"/>
                <w:i w:val="0"/>
                <w:sz w:val="17"/>
              </w:rPr>
              <w:t>Tek damarlı, bakır iletken, 450/750 V, 100 m makara</w:t>
            </w:r>
          </w:p>
        </w:tc>
        <w:tc>
          <w:tcPr>
            <w:tcW w:type="dxa" w:w="850"/>
            <w:shd w:val="clear" w:fill="F4F8FC"/>
          </w:tcPr>
          <w:p>
            <w:pPr>
              <w:spacing w:after="40" w:before="40"/>
              <w:jc w:val="center"/>
            </w:pPr>
            <w:r>
              <w:rPr>
                <w:rFonts w:ascii="Calibri" w:hAnsi="Calibri"/>
                <w:b w:val="0"/>
                <w:i w:val="0"/>
                <w:sz w:val="17"/>
              </w:rPr>
              <w:t>Metre</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3</w:t>
            </w:r>
          </w:p>
        </w:tc>
        <w:tc>
          <w:tcPr>
            <w:tcW w:type="dxa" w:w="2438"/>
          </w:tcPr>
          <w:p>
            <w:pPr>
              <w:spacing w:after="40" w:before="40"/>
            </w:pPr>
            <w:r>
              <w:rPr>
                <w:rFonts w:ascii="Calibri" w:hAnsi="Calibri"/>
                <w:b/>
                <w:i w:val="0"/>
                <w:sz w:val="17"/>
              </w:rPr>
              <w:t>NYAF kablo 4 mm²</w:t>
            </w:r>
          </w:p>
        </w:tc>
        <w:tc>
          <w:tcPr>
            <w:tcW w:type="dxa" w:w="4762"/>
          </w:tcPr>
          <w:p>
            <w:pPr>
              <w:spacing w:after="40" w:before="40"/>
            </w:pPr>
            <w:r>
              <w:rPr>
                <w:rFonts w:ascii="Calibri" w:hAnsi="Calibri"/>
                <w:b w:val="0"/>
                <w:i w:val="0"/>
                <w:sz w:val="17"/>
              </w:rPr>
              <w:t>Çok telli bükülgen bakır, 450/750 V</w:t>
            </w:r>
          </w:p>
        </w:tc>
        <w:tc>
          <w:tcPr>
            <w:tcW w:type="dxa" w:w="850"/>
          </w:tcPr>
          <w:p>
            <w:pPr>
              <w:spacing w:after="40" w:before="40"/>
              <w:jc w:val="center"/>
            </w:pPr>
            <w:r>
              <w:rPr>
                <w:rFonts w:ascii="Calibri" w:hAnsi="Calibri"/>
                <w:b w:val="0"/>
                <w:i w:val="0"/>
                <w:sz w:val="17"/>
              </w:rPr>
              <w:t>Metre</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4</w:t>
            </w:r>
          </w:p>
        </w:tc>
        <w:tc>
          <w:tcPr>
            <w:tcW w:type="dxa" w:w="2438"/>
            <w:shd w:val="clear" w:fill="F4F8FC"/>
          </w:tcPr>
          <w:p>
            <w:pPr>
              <w:spacing w:after="40" w:before="40"/>
            </w:pPr>
            <w:r>
              <w:rPr>
                <w:rFonts w:ascii="Calibri" w:hAnsi="Calibri"/>
                <w:b/>
                <w:i w:val="0"/>
                <w:sz w:val="17"/>
              </w:rPr>
              <w:t>NYY kablo 4×6 mm²</w:t>
            </w:r>
          </w:p>
        </w:tc>
        <w:tc>
          <w:tcPr>
            <w:tcW w:type="dxa" w:w="4762"/>
            <w:shd w:val="clear" w:fill="F4F8FC"/>
          </w:tcPr>
          <w:p>
            <w:pPr>
              <w:spacing w:after="40" w:before="40"/>
            </w:pPr>
            <w:r>
              <w:rPr>
                <w:rFonts w:ascii="Calibri" w:hAnsi="Calibri"/>
                <w:b w:val="0"/>
                <w:i w:val="0"/>
                <w:sz w:val="17"/>
              </w:rPr>
              <w:t>Çok damarlı, PVC izoleli, 0,6/1 kV, yeraltı kullanımına uygun</w:t>
            </w:r>
          </w:p>
        </w:tc>
        <w:tc>
          <w:tcPr>
            <w:tcW w:type="dxa" w:w="850"/>
            <w:shd w:val="clear" w:fill="F4F8FC"/>
          </w:tcPr>
          <w:p>
            <w:pPr>
              <w:spacing w:after="40" w:before="40"/>
              <w:jc w:val="center"/>
            </w:pPr>
            <w:r>
              <w:rPr>
                <w:rFonts w:ascii="Calibri" w:hAnsi="Calibri"/>
                <w:b w:val="0"/>
                <w:i w:val="0"/>
                <w:sz w:val="17"/>
              </w:rPr>
              <w:t>Metre</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5</w:t>
            </w:r>
          </w:p>
        </w:tc>
        <w:tc>
          <w:tcPr>
            <w:tcW w:type="dxa" w:w="2438"/>
          </w:tcPr>
          <w:p>
            <w:pPr>
              <w:spacing w:after="40" w:before="40"/>
            </w:pPr>
            <w:r>
              <w:rPr>
                <w:rFonts w:ascii="Calibri" w:hAnsi="Calibri"/>
                <w:b/>
                <w:i w:val="0"/>
                <w:sz w:val="17"/>
              </w:rPr>
              <w:t>NHXMH halojensiz kablo 3×2,5 mm²</w:t>
            </w:r>
          </w:p>
        </w:tc>
        <w:tc>
          <w:tcPr>
            <w:tcW w:type="dxa" w:w="4762"/>
          </w:tcPr>
          <w:p>
            <w:pPr>
              <w:spacing w:after="40" w:before="40"/>
            </w:pPr>
            <w:r>
              <w:rPr>
                <w:rFonts w:ascii="Calibri" w:hAnsi="Calibri"/>
                <w:b w:val="0"/>
                <w:i w:val="0"/>
                <w:sz w:val="17"/>
              </w:rPr>
              <w:t>Çok damarlı, kılıflı, halojensiz, 300/500 V (VDE 0250-214); alev iletmezlik TS EN 60332-1-2, halojen asit gazı TS EN 60754-1/-2, duman yoğunluğu TS EN 61034-2 deneylerine uygunluk belgelenecek</w:t>
            </w:r>
          </w:p>
        </w:tc>
        <w:tc>
          <w:tcPr>
            <w:tcW w:type="dxa" w:w="850"/>
          </w:tcPr>
          <w:p>
            <w:pPr>
              <w:spacing w:after="40" w:before="40"/>
              <w:jc w:val="center"/>
            </w:pPr>
            <w:r>
              <w:rPr>
                <w:rFonts w:ascii="Calibri" w:hAnsi="Calibri"/>
                <w:b w:val="0"/>
                <w:i w:val="0"/>
                <w:sz w:val="17"/>
              </w:rPr>
              <w:t>Metre</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6</w:t>
            </w:r>
          </w:p>
        </w:tc>
        <w:tc>
          <w:tcPr>
            <w:tcW w:type="dxa" w:w="2438"/>
            <w:shd w:val="clear" w:fill="F4F8FC"/>
          </w:tcPr>
          <w:p>
            <w:pPr>
              <w:spacing w:after="40" w:before="40"/>
            </w:pPr>
            <w:r>
              <w:rPr>
                <w:rFonts w:ascii="Calibri" w:hAnsi="Calibri"/>
                <w:b/>
                <w:i w:val="0"/>
                <w:sz w:val="17"/>
              </w:rPr>
              <w:t>Otomatik sigorta, 1 kutuplu</w:t>
            </w:r>
          </w:p>
        </w:tc>
        <w:tc>
          <w:tcPr>
            <w:tcW w:type="dxa" w:w="4762"/>
            <w:shd w:val="clear" w:fill="F4F8FC"/>
          </w:tcPr>
          <w:p>
            <w:pPr>
              <w:spacing w:after="40" w:before="40"/>
            </w:pPr>
            <w:r>
              <w:rPr>
                <w:rFonts w:ascii="Calibri" w:hAnsi="Calibri"/>
                <w:b w:val="0"/>
                <w:i w:val="0"/>
                <w:sz w:val="17"/>
              </w:rPr>
              <w:t>6 kA kesme kapasiteli, C eğrisi, TS EN 60898-1. Anma akımı satır bazında yazılır (10 A / 16 A / 20 A / 25 A); her anma akımı ayrı satırda fiyatlandırılır</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7</w:t>
            </w:r>
          </w:p>
        </w:tc>
        <w:tc>
          <w:tcPr>
            <w:tcW w:type="dxa" w:w="2438"/>
          </w:tcPr>
          <w:p>
            <w:pPr>
              <w:spacing w:after="40" w:before="40"/>
            </w:pPr>
            <w:r>
              <w:rPr>
                <w:rFonts w:ascii="Calibri" w:hAnsi="Calibri"/>
                <w:b/>
                <w:i w:val="0"/>
                <w:sz w:val="17"/>
              </w:rPr>
              <w:t>Otomatik sigorta, 3 kutuplu</w:t>
            </w:r>
          </w:p>
        </w:tc>
        <w:tc>
          <w:tcPr>
            <w:tcW w:type="dxa" w:w="4762"/>
          </w:tcPr>
          <w:p>
            <w:pPr>
              <w:spacing w:after="40" w:before="40"/>
            </w:pPr>
            <w:r>
              <w:rPr>
                <w:rFonts w:ascii="Calibri" w:hAnsi="Calibri"/>
                <w:b w:val="0"/>
                <w:i w:val="0"/>
                <w:sz w:val="17"/>
              </w:rPr>
              <w:t>6 kA kesme kapasiteli, C eğrisi, TS EN 60898-1. Anma akımı satır bazında yazılır (16 A / 25 A / 32 A / 40 A); her anma akımı ayrı satırda fiyatlandırılır</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8</w:t>
            </w:r>
          </w:p>
        </w:tc>
        <w:tc>
          <w:tcPr>
            <w:tcW w:type="dxa" w:w="2438"/>
            <w:shd w:val="clear" w:fill="F4F8FC"/>
          </w:tcPr>
          <w:p>
            <w:pPr>
              <w:spacing w:after="40" w:before="40"/>
            </w:pPr>
            <w:r>
              <w:rPr>
                <w:rFonts w:ascii="Calibri" w:hAnsi="Calibri"/>
                <w:b/>
                <w:i w:val="0"/>
                <w:sz w:val="17"/>
              </w:rPr>
              <w:t>Kaçak akım rölesi, 2 kutuplu</w:t>
            </w:r>
          </w:p>
        </w:tc>
        <w:tc>
          <w:tcPr>
            <w:tcW w:type="dxa" w:w="4762"/>
            <w:shd w:val="clear" w:fill="F4F8FC"/>
          </w:tcPr>
          <w:p>
            <w:pPr>
              <w:spacing w:after="40" w:before="40"/>
            </w:pPr>
            <w:r>
              <w:rPr>
                <w:rFonts w:ascii="Calibri" w:hAnsi="Calibri"/>
                <w:b w:val="0"/>
                <w:i w:val="0"/>
                <w:sz w:val="17"/>
              </w:rPr>
              <w:t>30 mA hassasiyet, 40 A, Tip A, TS EN 61008-1</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9</w:t>
            </w:r>
          </w:p>
        </w:tc>
        <w:tc>
          <w:tcPr>
            <w:tcW w:type="dxa" w:w="2438"/>
          </w:tcPr>
          <w:p>
            <w:pPr>
              <w:spacing w:after="40" w:before="40"/>
            </w:pPr>
            <w:r>
              <w:rPr>
                <w:rFonts w:ascii="Calibri" w:hAnsi="Calibri"/>
                <w:b/>
                <w:i w:val="0"/>
                <w:sz w:val="17"/>
              </w:rPr>
              <w:t>Kaçak akım rölesi, 4 kutuplu</w:t>
            </w:r>
          </w:p>
        </w:tc>
        <w:tc>
          <w:tcPr>
            <w:tcW w:type="dxa" w:w="4762"/>
          </w:tcPr>
          <w:p>
            <w:pPr>
              <w:spacing w:after="40" w:before="40"/>
            </w:pPr>
            <w:r>
              <w:rPr>
                <w:rFonts w:ascii="Calibri" w:hAnsi="Calibri"/>
                <w:b w:val="0"/>
                <w:i w:val="0"/>
                <w:sz w:val="17"/>
              </w:rPr>
              <w:t>Anma akımı (40 A / 63 A) ve anma kaçak akımı (30 mA / 300 mA) satır bazında yazılır; her bileşim ayrı satırda fiyatlandırılır. Tip A → TS EN 61008-1; Tip F ve Tip B → TS EN 62423 (TS EN 61008-1 ile birlikte). Sürücülü, fotovoltaik invertörlü ve elektrikli araç şarjlı devrelerde Tip B</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10</w:t>
            </w:r>
          </w:p>
        </w:tc>
        <w:tc>
          <w:tcPr>
            <w:tcW w:type="dxa" w:w="2438"/>
            <w:shd w:val="clear" w:fill="F4F8FC"/>
          </w:tcPr>
          <w:p>
            <w:pPr>
              <w:spacing w:after="40" w:before="40"/>
            </w:pPr>
            <w:r>
              <w:rPr>
                <w:rFonts w:ascii="Calibri" w:hAnsi="Calibri"/>
                <w:b/>
                <w:i w:val="0"/>
                <w:sz w:val="17"/>
              </w:rPr>
              <w:t>Kompakt şalter (termik manyetik)</w:t>
            </w:r>
          </w:p>
        </w:tc>
        <w:tc>
          <w:tcPr>
            <w:tcW w:type="dxa" w:w="4762"/>
            <w:shd w:val="clear" w:fill="F4F8FC"/>
          </w:tcPr>
          <w:p>
            <w:pPr>
              <w:spacing w:after="40" w:before="40"/>
            </w:pPr>
            <w:r>
              <w:rPr>
                <w:rFonts w:ascii="Calibri" w:hAnsi="Calibri"/>
                <w:b w:val="0"/>
                <w:i w:val="0"/>
                <w:sz w:val="17"/>
              </w:rPr>
              <w:t>3 kutuplu, 25 kA kesme, 63–250 A, ayarlanabilir termik, TS EN 60947-2</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11</w:t>
            </w:r>
          </w:p>
        </w:tc>
        <w:tc>
          <w:tcPr>
            <w:tcW w:type="dxa" w:w="2438"/>
          </w:tcPr>
          <w:p>
            <w:pPr>
              <w:spacing w:after="40" w:before="40"/>
            </w:pPr>
            <w:r>
              <w:rPr>
                <w:rFonts w:ascii="Calibri" w:hAnsi="Calibri"/>
                <w:b/>
                <w:i w:val="0"/>
                <w:sz w:val="17"/>
              </w:rPr>
              <w:t>Kontaktör</w:t>
            </w:r>
          </w:p>
        </w:tc>
        <w:tc>
          <w:tcPr>
            <w:tcW w:type="dxa" w:w="4762"/>
          </w:tcPr>
          <w:p>
            <w:pPr>
              <w:spacing w:after="40" w:before="40"/>
            </w:pPr>
            <w:r>
              <w:rPr>
                <w:rFonts w:ascii="Calibri" w:hAnsi="Calibri"/>
                <w:b w:val="0"/>
                <w:i w:val="0"/>
                <w:sz w:val="17"/>
              </w:rPr>
              <w:t>3 kutuplu, AC-3 sınıfı, 9–95 A, 230 V AC bobin, TS EN 60947-4-1</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12</w:t>
            </w:r>
          </w:p>
        </w:tc>
        <w:tc>
          <w:tcPr>
            <w:tcW w:type="dxa" w:w="2438"/>
            <w:shd w:val="clear" w:fill="F4F8FC"/>
          </w:tcPr>
          <w:p>
            <w:pPr>
              <w:spacing w:after="40" w:before="40"/>
            </w:pPr>
            <w:r>
              <w:rPr>
                <w:rFonts w:ascii="Calibri" w:hAnsi="Calibri"/>
                <w:b/>
                <w:i w:val="0"/>
                <w:sz w:val="17"/>
              </w:rPr>
              <w:t>Termik röle</w:t>
            </w:r>
          </w:p>
        </w:tc>
        <w:tc>
          <w:tcPr>
            <w:tcW w:type="dxa" w:w="4762"/>
            <w:shd w:val="clear" w:fill="F4F8FC"/>
          </w:tcPr>
          <w:p>
            <w:pPr>
              <w:spacing w:after="40" w:before="40"/>
            </w:pPr>
            <w:r>
              <w:rPr>
                <w:rFonts w:ascii="Calibri" w:hAnsi="Calibri"/>
                <w:b w:val="0"/>
                <w:i w:val="0"/>
                <w:sz w:val="17"/>
              </w:rPr>
              <w:t>Kontaktör uyumlu, ayar aralığı ölçekli, faz kopması korumalı</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13</w:t>
            </w:r>
          </w:p>
        </w:tc>
        <w:tc>
          <w:tcPr>
            <w:tcW w:type="dxa" w:w="2438"/>
          </w:tcPr>
          <w:p>
            <w:pPr>
              <w:spacing w:after="40" w:before="40"/>
            </w:pPr>
            <w:r>
              <w:rPr>
                <w:rFonts w:ascii="Calibri" w:hAnsi="Calibri"/>
                <w:b/>
                <w:i w:val="0"/>
                <w:sz w:val="17"/>
              </w:rPr>
              <w:t>Zaman rölesi</w:t>
            </w:r>
          </w:p>
        </w:tc>
        <w:tc>
          <w:tcPr>
            <w:tcW w:type="dxa" w:w="4762"/>
          </w:tcPr>
          <w:p>
            <w:pPr>
              <w:spacing w:after="40" w:before="40"/>
            </w:pPr>
            <w:r>
              <w:rPr>
                <w:rFonts w:ascii="Calibri" w:hAnsi="Calibri"/>
                <w:b w:val="0"/>
                <w:i w:val="0"/>
                <w:sz w:val="17"/>
              </w:rPr>
              <w:t>Çok fonksiyonlu, 0,1 s–100 saat, 1 değiştirme kontağı</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14</w:t>
            </w:r>
          </w:p>
        </w:tc>
        <w:tc>
          <w:tcPr>
            <w:tcW w:type="dxa" w:w="2438"/>
            <w:shd w:val="clear" w:fill="F4F8FC"/>
          </w:tcPr>
          <w:p>
            <w:pPr>
              <w:spacing w:after="40" w:before="40"/>
            </w:pPr>
            <w:r>
              <w:rPr>
                <w:rFonts w:ascii="Calibri" w:hAnsi="Calibri"/>
                <w:b/>
                <w:i w:val="0"/>
                <w:sz w:val="17"/>
              </w:rPr>
              <w:t>Faz koruma rölesi</w:t>
            </w:r>
          </w:p>
        </w:tc>
        <w:tc>
          <w:tcPr>
            <w:tcW w:type="dxa" w:w="4762"/>
            <w:shd w:val="clear" w:fill="F4F8FC"/>
          </w:tcPr>
          <w:p>
            <w:pPr>
              <w:spacing w:after="40" w:before="40"/>
            </w:pPr>
            <w:r>
              <w:rPr>
                <w:rFonts w:ascii="Calibri" w:hAnsi="Calibri"/>
                <w:b w:val="0"/>
                <w:i w:val="0"/>
                <w:sz w:val="17"/>
              </w:rPr>
              <w:t>3 faz, faz sırası ve faz kaybı korumalı, ayarlanabilir gerilim eşiği</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15</w:t>
            </w:r>
          </w:p>
        </w:tc>
        <w:tc>
          <w:tcPr>
            <w:tcW w:type="dxa" w:w="2438"/>
          </w:tcPr>
          <w:p>
            <w:pPr>
              <w:spacing w:after="40" w:before="40"/>
            </w:pPr>
            <w:r>
              <w:rPr>
                <w:rFonts w:ascii="Calibri" w:hAnsi="Calibri"/>
                <w:b/>
                <w:i w:val="0"/>
                <w:sz w:val="17"/>
              </w:rPr>
              <w:t>Parafudr (SPD)</w:t>
            </w:r>
          </w:p>
        </w:tc>
        <w:tc>
          <w:tcPr>
            <w:tcW w:type="dxa" w:w="4762"/>
          </w:tcPr>
          <w:p>
            <w:pPr>
              <w:spacing w:after="40" w:before="40"/>
            </w:pPr>
            <w:r>
              <w:rPr>
                <w:rFonts w:ascii="Calibri" w:hAnsi="Calibri"/>
                <w:b w:val="0"/>
                <w:i w:val="0"/>
                <w:sz w:val="17"/>
              </w:rPr>
              <w:t>Tip 2, In 20 kA, Up ≤ 1,5 kV, TS EN 61643-11</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16</w:t>
            </w:r>
          </w:p>
        </w:tc>
        <w:tc>
          <w:tcPr>
            <w:tcW w:type="dxa" w:w="2438"/>
            <w:shd w:val="clear" w:fill="F4F8FC"/>
          </w:tcPr>
          <w:p>
            <w:pPr>
              <w:spacing w:after="40" w:before="40"/>
            </w:pPr>
            <w:r>
              <w:rPr>
                <w:rFonts w:ascii="Calibri" w:hAnsi="Calibri"/>
                <w:b/>
                <w:i w:val="0"/>
                <w:sz w:val="17"/>
              </w:rPr>
              <w:t>Klemens, ray tipi</w:t>
            </w:r>
          </w:p>
        </w:tc>
        <w:tc>
          <w:tcPr>
            <w:tcW w:type="dxa" w:w="4762"/>
            <w:shd w:val="clear" w:fill="F4F8FC"/>
          </w:tcPr>
          <w:p>
            <w:pPr>
              <w:spacing w:after="40" w:before="40"/>
            </w:pPr>
            <w:r>
              <w:rPr>
                <w:rFonts w:ascii="Calibri" w:hAnsi="Calibri"/>
                <w:b w:val="0"/>
                <w:i w:val="0"/>
                <w:sz w:val="17"/>
              </w:rPr>
              <w:t>Vidalı veya yaylı, gri. Kesit satır bazında yazılır (2,5 mm² / 4 mm² / 6 mm²); her kesit ayrı satırda fiyatlandırılır</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17</w:t>
            </w:r>
          </w:p>
        </w:tc>
        <w:tc>
          <w:tcPr>
            <w:tcW w:type="dxa" w:w="2438"/>
          </w:tcPr>
          <w:p>
            <w:pPr>
              <w:spacing w:after="40" w:before="40"/>
            </w:pPr>
            <w:r>
              <w:rPr>
                <w:rFonts w:ascii="Calibri" w:hAnsi="Calibri"/>
                <w:b/>
                <w:i w:val="0"/>
                <w:sz w:val="17"/>
              </w:rPr>
              <w:t>Klemens ayırıcı ve son plaka</w:t>
            </w:r>
          </w:p>
        </w:tc>
        <w:tc>
          <w:tcPr>
            <w:tcW w:type="dxa" w:w="4762"/>
          </w:tcPr>
          <w:p>
            <w:pPr>
              <w:spacing w:after="40" w:before="40"/>
            </w:pPr>
            <w:r>
              <w:rPr>
                <w:rFonts w:ascii="Calibri" w:hAnsi="Calibri"/>
                <w:b w:val="0"/>
                <w:i w:val="0"/>
                <w:sz w:val="17"/>
              </w:rPr>
              <w:t>Kullanılan klemens serisiyle uyumlu</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18</w:t>
            </w:r>
          </w:p>
        </w:tc>
        <w:tc>
          <w:tcPr>
            <w:tcW w:type="dxa" w:w="2438"/>
            <w:shd w:val="clear" w:fill="F4F8FC"/>
          </w:tcPr>
          <w:p>
            <w:pPr>
              <w:spacing w:after="40" w:before="40"/>
            </w:pPr>
            <w:r>
              <w:rPr>
                <w:rFonts w:ascii="Calibri" w:hAnsi="Calibri"/>
                <w:b/>
                <w:i w:val="0"/>
                <w:sz w:val="17"/>
              </w:rPr>
              <w:t>DIN ray</w:t>
            </w:r>
          </w:p>
        </w:tc>
        <w:tc>
          <w:tcPr>
            <w:tcW w:type="dxa" w:w="4762"/>
            <w:shd w:val="clear" w:fill="F4F8FC"/>
          </w:tcPr>
          <w:p>
            <w:pPr>
              <w:spacing w:after="40" w:before="40"/>
            </w:pPr>
            <w:r>
              <w:rPr>
                <w:rFonts w:ascii="Calibri" w:hAnsi="Calibri"/>
                <w:b w:val="0"/>
                <w:i w:val="0"/>
                <w:sz w:val="17"/>
              </w:rPr>
              <w:t>35×7,5 mm, delikli, galvanizli, 2 m</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19</w:t>
            </w:r>
          </w:p>
        </w:tc>
        <w:tc>
          <w:tcPr>
            <w:tcW w:type="dxa" w:w="2438"/>
          </w:tcPr>
          <w:p>
            <w:pPr>
              <w:spacing w:after="40" w:before="40"/>
            </w:pPr>
            <w:r>
              <w:rPr>
                <w:rFonts w:ascii="Calibri" w:hAnsi="Calibri"/>
                <w:b/>
                <w:i w:val="0"/>
                <w:sz w:val="17"/>
              </w:rPr>
              <w:t>Kablo kanalı, pano içi</w:t>
            </w:r>
          </w:p>
        </w:tc>
        <w:tc>
          <w:tcPr>
            <w:tcW w:type="dxa" w:w="4762"/>
          </w:tcPr>
          <w:p>
            <w:pPr>
              <w:spacing w:after="40" w:before="40"/>
            </w:pPr>
            <w:r>
              <w:rPr>
                <w:rFonts w:ascii="Calibri" w:hAnsi="Calibri"/>
                <w:b w:val="0"/>
                <w:i w:val="0"/>
                <w:sz w:val="17"/>
              </w:rPr>
              <w:t>40×60 mm, PVC, kapaklı, 2 m</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20</w:t>
            </w:r>
          </w:p>
        </w:tc>
        <w:tc>
          <w:tcPr>
            <w:tcW w:type="dxa" w:w="2438"/>
            <w:shd w:val="clear" w:fill="F4F8FC"/>
          </w:tcPr>
          <w:p>
            <w:pPr>
              <w:spacing w:after="40" w:before="40"/>
            </w:pPr>
            <w:r>
              <w:rPr>
                <w:rFonts w:ascii="Calibri" w:hAnsi="Calibri"/>
                <w:b/>
                <w:i w:val="0"/>
                <w:sz w:val="17"/>
              </w:rPr>
              <w:t>Spiral kablo düzenleyici</w:t>
            </w:r>
          </w:p>
        </w:tc>
        <w:tc>
          <w:tcPr>
            <w:tcW w:type="dxa" w:w="4762"/>
            <w:shd w:val="clear" w:fill="F4F8FC"/>
          </w:tcPr>
          <w:p>
            <w:pPr>
              <w:spacing w:after="40" w:before="40"/>
            </w:pPr>
            <w:r>
              <w:rPr>
                <w:rFonts w:ascii="Calibri" w:hAnsi="Calibri"/>
                <w:b w:val="0"/>
                <w:i w:val="0"/>
                <w:sz w:val="17"/>
              </w:rPr>
              <w:t>12 mm, PE, 10 m</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21</w:t>
            </w:r>
          </w:p>
        </w:tc>
        <w:tc>
          <w:tcPr>
            <w:tcW w:type="dxa" w:w="2438"/>
          </w:tcPr>
          <w:p>
            <w:pPr>
              <w:spacing w:after="40" w:before="40"/>
            </w:pPr>
            <w:r>
              <w:rPr>
                <w:rFonts w:ascii="Calibri" w:hAnsi="Calibri"/>
                <w:b/>
                <w:i w:val="0"/>
                <w:sz w:val="17"/>
              </w:rPr>
              <w:t>Kablo pabucu, sıkmalı</w:t>
            </w:r>
          </w:p>
        </w:tc>
        <w:tc>
          <w:tcPr>
            <w:tcW w:type="dxa" w:w="4762"/>
          </w:tcPr>
          <w:p>
            <w:pPr>
              <w:spacing w:after="40" w:before="40"/>
            </w:pPr>
            <w:r>
              <w:rPr>
                <w:rFonts w:ascii="Calibri" w:hAnsi="Calibri"/>
                <w:b w:val="0"/>
                <w:i w:val="0"/>
                <w:sz w:val="17"/>
              </w:rPr>
              <w:t>Bakır, 2,5–95 mm² aralığında, delik çapı belirtilmiş</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22</w:t>
            </w:r>
          </w:p>
        </w:tc>
        <w:tc>
          <w:tcPr>
            <w:tcW w:type="dxa" w:w="2438"/>
            <w:shd w:val="clear" w:fill="F4F8FC"/>
          </w:tcPr>
          <w:p>
            <w:pPr>
              <w:spacing w:after="40" w:before="40"/>
            </w:pPr>
            <w:r>
              <w:rPr>
                <w:rFonts w:ascii="Calibri" w:hAnsi="Calibri"/>
                <w:b/>
                <w:i w:val="0"/>
                <w:sz w:val="17"/>
              </w:rPr>
              <w:t>Yüksük (ferrül)</w:t>
            </w:r>
          </w:p>
        </w:tc>
        <w:tc>
          <w:tcPr>
            <w:tcW w:type="dxa" w:w="4762"/>
            <w:shd w:val="clear" w:fill="F4F8FC"/>
          </w:tcPr>
          <w:p>
            <w:pPr>
              <w:spacing w:after="40" w:before="40"/>
            </w:pPr>
            <w:r>
              <w:rPr>
                <w:rFonts w:ascii="Calibri" w:hAnsi="Calibri"/>
                <w:b w:val="0"/>
                <w:i w:val="0"/>
                <w:sz w:val="17"/>
              </w:rPr>
              <w:t>İzoleli, 0,5–16 mm², renk kodlu, 100'lü paket</w:t>
            </w:r>
          </w:p>
        </w:tc>
        <w:tc>
          <w:tcPr>
            <w:tcW w:type="dxa" w:w="850"/>
            <w:shd w:val="clear" w:fill="F4F8FC"/>
          </w:tcPr>
          <w:p>
            <w:pPr>
              <w:spacing w:after="40" w:before="40"/>
              <w:jc w:val="center"/>
            </w:pPr>
            <w:r>
              <w:rPr>
                <w:rFonts w:ascii="Calibri" w:hAnsi="Calibri"/>
                <w:b w:val="0"/>
                <w:i w:val="0"/>
                <w:sz w:val="17"/>
              </w:rPr>
              <w:t>Paket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23</w:t>
            </w:r>
          </w:p>
        </w:tc>
        <w:tc>
          <w:tcPr>
            <w:tcW w:type="dxa" w:w="2438"/>
          </w:tcPr>
          <w:p>
            <w:pPr>
              <w:spacing w:after="40" w:before="40"/>
            </w:pPr>
            <w:r>
              <w:rPr>
                <w:rFonts w:ascii="Calibri" w:hAnsi="Calibri"/>
                <w:b/>
                <w:i w:val="0"/>
                <w:sz w:val="17"/>
              </w:rPr>
              <w:t>Kablo bağı (plastik kelepçe)</w:t>
            </w:r>
          </w:p>
        </w:tc>
        <w:tc>
          <w:tcPr>
            <w:tcW w:type="dxa" w:w="4762"/>
          </w:tcPr>
          <w:p>
            <w:pPr>
              <w:spacing w:after="40" w:before="40"/>
            </w:pPr>
            <w:r>
              <w:rPr>
                <w:rFonts w:ascii="Calibri" w:hAnsi="Calibri"/>
                <w:b w:val="0"/>
                <w:i w:val="0"/>
                <w:sz w:val="17"/>
              </w:rPr>
              <w:t>2,5×100 mm / 4,8×200 mm / 7,6×370 mm, UV dayanımlı siyah, 100'lü paket</w:t>
            </w:r>
          </w:p>
        </w:tc>
        <w:tc>
          <w:tcPr>
            <w:tcW w:type="dxa" w:w="850"/>
          </w:tcPr>
          <w:p>
            <w:pPr>
              <w:spacing w:after="40" w:before="40"/>
              <w:jc w:val="center"/>
            </w:pPr>
            <w:r>
              <w:rPr>
                <w:rFonts w:ascii="Calibri" w:hAnsi="Calibri"/>
                <w:b w:val="0"/>
                <w:i w:val="0"/>
                <w:sz w:val="17"/>
              </w:rPr>
              <w:t>Paket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24</w:t>
            </w:r>
          </w:p>
        </w:tc>
        <w:tc>
          <w:tcPr>
            <w:tcW w:type="dxa" w:w="2438"/>
            <w:shd w:val="clear" w:fill="F4F8FC"/>
          </w:tcPr>
          <w:p>
            <w:pPr>
              <w:spacing w:after="40" w:before="40"/>
            </w:pPr>
            <w:r>
              <w:rPr>
                <w:rFonts w:ascii="Calibri" w:hAnsi="Calibri"/>
                <w:b/>
                <w:i w:val="0"/>
                <w:sz w:val="17"/>
              </w:rPr>
              <w:t>İzole bant</w:t>
            </w:r>
          </w:p>
        </w:tc>
        <w:tc>
          <w:tcPr>
            <w:tcW w:type="dxa" w:w="4762"/>
            <w:shd w:val="clear" w:fill="F4F8FC"/>
          </w:tcPr>
          <w:p>
            <w:pPr>
              <w:spacing w:after="40" w:before="40"/>
            </w:pPr>
            <w:r>
              <w:rPr>
                <w:rFonts w:ascii="Calibri" w:hAnsi="Calibri"/>
                <w:b w:val="0"/>
                <w:i w:val="0"/>
                <w:sz w:val="17"/>
              </w:rPr>
              <w:t>PVC, 19 mm × 10 m, 600 V, alev iletmez</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25</w:t>
            </w:r>
          </w:p>
        </w:tc>
        <w:tc>
          <w:tcPr>
            <w:tcW w:type="dxa" w:w="2438"/>
          </w:tcPr>
          <w:p>
            <w:pPr>
              <w:spacing w:after="40" w:before="40"/>
            </w:pPr>
            <w:r>
              <w:rPr>
                <w:rFonts w:ascii="Calibri" w:hAnsi="Calibri"/>
                <w:b/>
                <w:i w:val="0"/>
                <w:sz w:val="17"/>
              </w:rPr>
              <w:t>Buat (bağlantı kutusu)</w:t>
            </w:r>
          </w:p>
        </w:tc>
        <w:tc>
          <w:tcPr>
            <w:tcW w:type="dxa" w:w="4762"/>
          </w:tcPr>
          <w:p>
            <w:pPr>
              <w:spacing w:after="40" w:before="40"/>
            </w:pPr>
            <w:r>
              <w:rPr>
                <w:rFonts w:ascii="Calibri" w:hAnsi="Calibri"/>
                <w:b w:val="0"/>
                <w:i w:val="0"/>
                <w:sz w:val="17"/>
              </w:rPr>
              <w:t>IP54, sıva üstü, 100×100 mm, rakorlu</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26</w:t>
            </w:r>
          </w:p>
        </w:tc>
        <w:tc>
          <w:tcPr>
            <w:tcW w:type="dxa" w:w="2438"/>
            <w:shd w:val="clear" w:fill="F4F8FC"/>
          </w:tcPr>
          <w:p>
            <w:pPr>
              <w:spacing w:after="40" w:before="40"/>
            </w:pPr>
            <w:r>
              <w:rPr>
                <w:rFonts w:ascii="Calibri" w:hAnsi="Calibri"/>
                <w:b/>
                <w:i w:val="0"/>
                <w:sz w:val="17"/>
              </w:rPr>
              <w:t>Pano, sac</w:t>
            </w:r>
          </w:p>
        </w:tc>
        <w:tc>
          <w:tcPr>
            <w:tcW w:type="dxa" w:w="4762"/>
            <w:shd w:val="clear" w:fill="F4F8FC"/>
          </w:tcPr>
          <w:p>
            <w:pPr>
              <w:spacing w:after="40" w:before="40"/>
            </w:pPr>
            <w:r>
              <w:rPr>
                <w:rFonts w:ascii="Calibri" w:hAnsi="Calibri"/>
                <w:b w:val="0"/>
                <w:i w:val="0"/>
                <w:sz w:val="17"/>
              </w:rPr>
              <w:t>IP54/IP65, RAL 7035, kilitli kapak, montaj plakalı, ölçü belirtilmiş; set olarak TS EN 61439-1 ve TS EN 61439-2 (veya dağıtım panosunda -3)</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27</w:t>
            </w:r>
          </w:p>
        </w:tc>
        <w:tc>
          <w:tcPr>
            <w:tcW w:type="dxa" w:w="2438"/>
          </w:tcPr>
          <w:p>
            <w:pPr>
              <w:spacing w:after="40" w:before="40"/>
            </w:pPr>
            <w:r>
              <w:rPr>
                <w:rFonts w:ascii="Calibri" w:hAnsi="Calibri"/>
                <w:b/>
                <w:i w:val="0"/>
                <w:sz w:val="17"/>
              </w:rPr>
              <w:t>Priz, topraklı, sıva üstü</w:t>
            </w:r>
          </w:p>
        </w:tc>
        <w:tc>
          <w:tcPr>
            <w:tcW w:type="dxa" w:w="4762"/>
          </w:tcPr>
          <w:p>
            <w:pPr>
              <w:spacing w:after="40" w:before="40"/>
            </w:pPr>
            <w:r>
              <w:rPr>
                <w:rFonts w:ascii="Calibri" w:hAnsi="Calibri"/>
                <w:b w:val="0"/>
                <w:i w:val="0"/>
                <w:sz w:val="17"/>
              </w:rPr>
              <w:t>16 A, 250 V, IP44, çocuk korumalı</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28</w:t>
            </w:r>
          </w:p>
        </w:tc>
        <w:tc>
          <w:tcPr>
            <w:tcW w:type="dxa" w:w="2438"/>
            <w:shd w:val="clear" w:fill="F4F8FC"/>
          </w:tcPr>
          <w:p>
            <w:pPr>
              <w:spacing w:after="40" w:before="40"/>
            </w:pPr>
            <w:r>
              <w:rPr>
                <w:rFonts w:ascii="Calibri" w:hAnsi="Calibri"/>
                <w:b/>
                <w:i w:val="0"/>
                <w:sz w:val="17"/>
              </w:rPr>
              <w:t>Anahtar, komütatör</w:t>
            </w:r>
          </w:p>
        </w:tc>
        <w:tc>
          <w:tcPr>
            <w:tcW w:type="dxa" w:w="4762"/>
            <w:shd w:val="clear" w:fill="F4F8FC"/>
          </w:tcPr>
          <w:p>
            <w:pPr>
              <w:spacing w:after="40" w:before="40"/>
            </w:pPr>
            <w:r>
              <w:rPr>
                <w:rFonts w:ascii="Calibri" w:hAnsi="Calibri"/>
                <w:b w:val="0"/>
                <w:i w:val="0"/>
                <w:sz w:val="17"/>
              </w:rPr>
              <w:t>10 A, 250 V, sıva altı veya üstü</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29</w:t>
            </w:r>
          </w:p>
        </w:tc>
        <w:tc>
          <w:tcPr>
            <w:tcW w:type="dxa" w:w="2438"/>
          </w:tcPr>
          <w:p>
            <w:pPr>
              <w:spacing w:after="40" w:before="40"/>
            </w:pPr>
            <w:r>
              <w:rPr>
                <w:rFonts w:ascii="Calibri" w:hAnsi="Calibri"/>
                <w:b/>
                <w:i w:val="0"/>
                <w:sz w:val="17"/>
              </w:rPr>
              <w:t>Endüstriyel fiş-priz seti (CEE)</w:t>
            </w:r>
          </w:p>
        </w:tc>
        <w:tc>
          <w:tcPr>
            <w:tcW w:type="dxa" w:w="4762"/>
          </w:tcPr>
          <w:p>
            <w:pPr>
              <w:spacing w:after="40" w:before="40"/>
            </w:pPr>
            <w:r>
              <w:rPr>
                <w:rFonts w:ascii="Calibri" w:hAnsi="Calibri"/>
                <w:b w:val="0"/>
                <w:i w:val="0"/>
                <w:sz w:val="17"/>
              </w:rPr>
              <w:t>3P+N+E, 32 A, 400 V, IP67, TS EN 60309</w:t>
            </w:r>
          </w:p>
        </w:tc>
        <w:tc>
          <w:tcPr>
            <w:tcW w:type="dxa" w:w="850"/>
          </w:tcPr>
          <w:p>
            <w:pPr>
              <w:spacing w:after="40" w:before="40"/>
              <w:jc w:val="center"/>
            </w:pPr>
            <w:r>
              <w:rPr>
                <w:rFonts w:ascii="Calibri" w:hAnsi="Calibri"/>
                <w:b w:val="0"/>
                <w:i w:val="0"/>
                <w:sz w:val="17"/>
              </w:rPr>
              <w:t>Takım</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30</w:t>
            </w:r>
          </w:p>
        </w:tc>
        <w:tc>
          <w:tcPr>
            <w:tcW w:type="dxa" w:w="2438"/>
            <w:shd w:val="clear" w:fill="F4F8FC"/>
          </w:tcPr>
          <w:p>
            <w:pPr>
              <w:spacing w:after="40" w:before="40"/>
            </w:pPr>
            <w:r>
              <w:rPr>
                <w:rFonts w:ascii="Calibri" w:hAnsi="Calibri"/>
                <w:b/>
                <w:i w:val="0"/>
                <w:sz w:val="17"/>
              </w:rPr>
              <w:t>Uzatma kablosu, makaralı</w:t>
            </w:r>
          </w:p>
        </w:tc>
        <w:tc>
          <w:tcPr>
            <w:tcW w:type="dxa" w:w="4762"/>
            <w:shd w:val="clear" w:fill="F4F8FC"/>
          </w:tcPr>
          <w:p>
            <w:pPr>
              <w:spacing w:after="40" w:before="40"/>
            </w:pPr>
            <w:r>
              <w:rPr>
                <w:rFonts w:ascii="Calibri" w:hAnsi="Calibri"/>
                <w:b w:val="0"/>
                <w:i w:val="0"/>
                <w:sz w:val="17"/>
              </w:rPr>
              <w:t>3×2,5 mm², 25 m, termik korumalı, 4 çıkışlı</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31</w:t>
            </w:r>
          </w:p>
        </w:tc>
        <w:tc>
          <w:tcPr>
            <w:tcW w:type="dxa" w:w="2438"/>
          </w:tcPr>
          <w:p>
            <w:pPr>
              <w:spacing w:after="40" w:before="40"/>
            </w:pPr>
            <w:r>
              <w:rPr>
                <w:rFonts w:ascii="Calibri" w:hAnsi="Calibri"/>
                <w:b/>
                <w:i w:val="0"/>
                <w:sz w:val="17"/>
              </w:rPr>
              <w:t>LED panel armatür</w:t>
            </w:r>
          </w:p>
        </w:tc>
        <w:tc>
          <w:tcPr>
            <w:tcW w:type="dxa" w:w="4762"/>
          </w:tcPr>
          <w:p>
            <w:pPr>
              <w:spacing w:after="40" w:before="40"/>
            </w:pPr>
            <w:r>
              <w:rPr>
                <w:rFonts w:ascii="Calibri" w:hAnsi="Calibri"/>
                <w:b w:val="0"/>
                <w:i w:val="0"/>
                <w:sz w:val="17"/>
              </w:rPr>
              <w:t>60×60 cm, 36–40 W, ışık akısı en az 4.800 lm (≥125 lm/W), 4000 K, UGR &lt; 19, IP20, sürücü garantisi belirtilmiş</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32</w:t>
            </w:r>
          </w:p>
        </w:tc>
        <w:tc>
          <w:tcPr>
            <w:tcW w:type="dxa" w:w="2438"/>
            <w:shd w:val="clear" w:fill="F4F8FC"/>
          </w:tcPr>
          <w:p>
            <w:pPr>
              <w:spacing w:after="40" w:before="40"/>
            </w:pPr>
            <w:r>
              <w:rPr>
                <w:rFonts w:ascii="Calibri" w:hAnsi="Calibri"/>
                <w:b/>
                <w:i w:val="0"/>
                <w:sz w:val="17"/>
              </w:rPr>
              <w:t>LED lineer armatür</w:t>
            </w:r>
          </w:p>
        </w:tc>
        <w:tc>
          <w:tcPr>
            <w:tcW w:type="dxa" w:w="4762"/>
            <w:shd w:val="clear" w:fill="F4F8FC"/>
          </w:tcPr>
          <w:p>
            <w:pPr>
              <w:spacing w:after="40" w:before="40"/>
            </w:pPr>
            <w:r>
              <w:rPr>
                <w:rFonts w:ascii="Calibri" w:hAnsi="Calibri"/>
                <w:b w:val="0"/>
                <w:i w:val="0"/>
                <w:sz w:val="17"/>
              </w:rPr>
              <w:t>120 cm, 36–40 W, en az 4.800 lm (≥125 lm/W), 4000 K, IP20</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33</w:t>
            </w:r>
          </w:p>
        </w:tc>
        <w:tc>
          <w:tcPr>
            <w:tcW w:type="dxa" w:w="2438"/>
          </w:tcPr>
          <w:p>
            <w:pPr>
              <w:spacing w:after="40" w:before="40"/>
            </w:pPr>
            <w:r>
              <w:rPr>
                <w:rFonts w:ascii="Calibri" w:hAnsi="Calibri"/>
                <w:b/>
                <w:i w:val="0"/>
                <w:sz w:val="17"/>
              </w:rPr>
              <w:t>LED etanj (nem geçirmez) armatür</w:t>
            </w:r>
          </w:p>
        </w:tc>
        <w:tc>
          <w:tcPr>
            <w:tcW w:type="dxa" w:w="4762"/>
          </w:tcPr>
          <w:p>
            <w:pPr>
              <w:spacing w:after="40" w:before="40"/>
            </w:pPr>
            <w:r>
              <w:rPr>
                <w:rFonts w:ascii="Calibri" w:hAnsi="Calibri"/>
                <w:b w:val="0"/>
                <w:i w:val="0"/>
                <w:sz w:val="17"/>
              </w:rPr>
              <w:t>120 cm, 36–45 W, IP65, polikarbonat gövde</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34</w:t>
            </w:r>
          </w:p>
        </w:tc>
        <w:tc>
          <w:tcPr>
            <w:tcW w:type="dxa" w:w="2438"/>
            <w:shd w:val="clear" w:fill="F4F8FC"/>
          </w:tcPr>
          <w:p>
            <w:pPr>
              <w:spacing w:after="40" w:before="40"/>
            </w:pPr>
            <w:r>
              <w:rPr>
                <w:rFonts w:ascii="Calibri" w:hAnsi="Calibri"/>
                <w:b/>
                <w:i w:val="0"/>
                <w:sz w:val="17"/>
              </w:rPr>
              <w:t>LED yüksek tavan armatürü (highbay)</w:t>
            </w:r>
          </w:p>
        </w:tc>
        <w:tc>
          <w:tcPr>
            <w:tcW w:type="dxa" w:w="4762"/>
            <w:shd w:val="clear" w:fill="F4F8FC"/>
          </w:tcPr>
          <w:p>
            <w:pPr>
              <w:spacing w:after="40" w:before="40"/>
            </w:pPr>
            <w:r>
              <w:rPr>
                <w:rFonts w:ascii="Calibri" w:hAnsi="Calibri"/>
                <w:b w:val="0"/>
                <w:i w:val="0"/>
                <w:sz w:val="17"/>
              </w:rPr>
              <w:t>100–150 W, en az 140 lm/W, IP65, 60°/90° optik</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35</w:t>
            </w:r>
          </w:p>
        </w:tc>
        <w:tc>
          <w:tcPr>
            <w:tcW w:type="dxa" w:w="2438"/>
          </w:tcPr>
          <w:p>
            <w:pPr>
              <w:spacing w:after="40" w:before="40"/>
            </w:pPr>
            <w:r>
              <w:rPr>
                <w:rFonts w:ascii="Calibri" w:hAnsi="Calibri"/>
                <w:b/>
                <w:i w:val="0"/>
                <w:sz w:val="17"/>
              </w:rPr>
              <w:t>LED projektör</w:t>
            </w:r>
          </w:p>
        </w:tc>
        <w:tc>
          <w:tcPr>
            <w:tcW w:type="dxa" w:w="4762"/>
          </w:tcPr>
          <w:p>
            <w:pPr>
              <w:spacing w:after="40" w:before="40"/>
            </w:pPr>
            <w:r>
              <w:rPr>
                <w:rFonts w:ascii="Calibri" w:hAnsi="Calibri"/>
                <w:b w:val="0"/>
                <w:i w:val="0"/>
                <w:sz w:val="17"/>
              </w:rPr>
              <w:t>IP66, en az 120 lm/W, alüminyum gövde. Anma gücü satır bazında yazılır (50 W / 100 W / 200 W); her güç ayrı satırda fiyatlandırılır</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36</w:t>
            </w:r>
          </w:p>
        </w:tc>
        <w:tc>
          <w:tcPr>
            <w:tcW w:type="dxa" w:w="2438"/>
            <w:shd w:val="clear" w:fill="F4F8FC"/>
          </w:tcPr>
          <w:p>
            <w:pPr>
              <w:spacing w:after="40" w:before="40"/>
            </w:pPr>
            <w:r>
              <w:rPr>
                <w:rFonts w:ascii="Calibri" w:hAnsi="Calibri"/>
                <w:b/>
                <w:i w:val="0"/>
                <w:sz w:val="17"/>
              </w:rPr>
              <w:t>LED ampul, E27</w:t>
            </w:r>
          </w:p>
        </w:tc>
        <w:tc>
          <w:tcPr>
            <w:tcW w:type="dxa" w:w="4762"/>
            <w:shd w:val="clear" w:fill="F4F8FC"/>
          </w:tcPr>
          <w:p>
            <w:pPr>
              <w:spacing w:after="40" w:before="40"/>
            </w:pPr>
            <w:r>
              <w:rPr>
                <w:rFonts w:ascii="Calibri" w:hAnsi="Calibri"/>
                <w:b w:val="0"/>
                <w:i w:val="0"/>
                <w:sz w:val="17"/>
              </w:rPr>
              <w:t>9–12 W, en az 900 lm, 2700 K/4000 K/6500 K</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37</w:t>
            </w:r>
          </w:p>
        </w:tc>
        <w:tc>
          <w:tcPr>
            <w:tcW w:type="dxa" w:w="2438"/>
          </w:tcPr>
          <w:p>
            <w:pPr>
              <w:spacing w:after="40" w:before="40"/>
            </w:pPr>
            <w:r>
              <w:rPr>
                <w:rFonts w:ascii="Calibri" w:hAnsi="Calibri"/>
                <w:b/>
                <w:i w:val="0"/>
                <w:sz w:val="17"/>
              </w:rPr>
              <w:t>Acil aydınlatma armatürü</w:t>
            </w:r>
          </w:p>
        </w:tc>
        <w:tc>
          <w:tcPr>
            <w:tcW w:type="dxa" w:w="4762"/>
          </w:tcPr>
          <w:p>
            <w:pPr>
              <w:spacing w:after="40" w:before="40"/>
            </w:pPr>
            <w:r>
              <w:rPr>
                <w:rFonts w:ascii="Calibri" w:hAnsi="Calibri"/>
                <w:b w:val="0"/>
                <w:i w:val="0"/>
                <w:sz w:val="17"/>
              </w:rPr>
              <w:t>Kesintide çalışma süresi en az … dakika (mevzuat ve proje gereğine göre belirlenir), otomatik test özellikli, TS EN 60598-2-22</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38</w:t>
            </w:r>
          </w:p>
        </w:tc>
        <w:tc>
          <w:tcPr>
            <w:tcW w:type="dxa" w:w="2438"/>
            <w:shd w:val="clear" w:fill="F4F8FC"/>
          </w:tcPr>
          <w:p>
            <w:pPr>
              <w:spacing w:after="40" w:before="40"/>
            </w:pPr>
            <w:r>
              <w:rPr>
                <w:rFonts w:ascii="Calibri" w:hAnsi="Calibri"/>
                <w:b/>
                <w:i w:val="0"/>
                <w:sz w:val="17"/>
              </w:rPr>
              <w:t>Acil çıkış yönlendirme armatürü</w:t>
            </w:r>
          </w:p>
        </w:tc>
        <w:tc>
          <w:tcPr>
            <w:tcW w:type="dxa" w:w="4762"/>
            <w:shd w:val="clear" w:fill="F4F8FC"/>
          </w:tcPr>
          <w:p>
            <w:pPr>
              <w:spacing w:after="40" w:before="40"/>
            </w:pPr>
            <w:r>
              <w:rPr>
                <w:rFonts w:ascii="Calibri" w:hAnsi="Calibri"/>
                <w:b w:val="0"/>
                <w:i w:val="0"/>
                <w:sz w:val="17"/>
              </w:rPr>
              <w:t>Piktogram TS ISO 7010'a uygun; tek yüzlü ve çift yüzlü tipler ayrı satırda fiyatlandırılır. Kesintide çalışma süresi Binaların Yangından Korunması Hakkında Yönetmelik m.72'ye göre en az 60 dakika; kullanıcı yükü 200'den fazla olan binalarda en az 120 dakika</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39</w:t>
            </w:r>
          </w:p>
        </w:tc>
        <w:tc>
          <w:tcPr>
            <w:tcW w:type="dxa" w:w="2438"/>
          </w:tcPr>
          <w:p>
            <w:pPr>
              <w:spacing w:after="40" w:before="40"/>
            </w:pPr>
            <w:r>
              <w:rPr>
                <w:rFonts w:ascii="Calibri" w:hAnsi="Calibri"/>
                <w:b/>
                <w:i w:val="0"/>
                <w:sz w:val="17"/>
              </w:rPr>
              <w:t>Sensörlü anahtar (PIR)</w:t>
            </w:r>
          </w:p>
        </w:tc>
        <w:tc>
          <w:tcPr>
            <w:tcW w:type="dxa" w:w="4762"/>
          </w:tcPr>
          <w:p>
            <w:pPr>
              <w:spacing w:after="40" w:before="40"/>
            </w:pPr>
            <w:r>
              <w:rPr>
                <w:rFonts w:ascii="Calibri" w:hAnsi="Calibri"/>
                <w:b w:val="0"/>
                <w:i w:val="0"/>
                <w:sz w:val="17"/>
              </w:rPr>
              <w:t>360°, tavan tipi, 6 m algılama, ayarlanabilir süre ve lüks eşiği</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40</w:t>
            </w:r>
          </w:p>
        </w:tc>
        <w:tc>
          <w:tcPr>
            <w:tcW w:type="dxa" w:w="2438"/>
            <w:shd w:val="clear" w:fill="F4F8FC"/>
          </w:tcPr>
          <w:p>
            <w:pPr>
              <w:spacing w:after="40" w:before="40"/>
            </w:pPr>
            <w:r>
              <w:rPr>
                <w:rFonts w:ascii="Calibri" w:hAnsi="Calibri"/>
                <w:b/>
                <w:i w:val="0"/>
                <w:sz w:val="17"/>
              </w:rPr>
              <w:t>Sayaç, elektronik (analizör)</w:t>
            </w:r>
          </w:p>
        </w:tc>
        <w:tc>
          <w:tcPr>
            <w:tcW w:type="dxa" w:w="4762"/>
            <w:shd w:val="clear" w:fill="F4F8FC"/>
          </w:tcPr>
          <w:p>
            <w:pPr>
              <w:spacing w:after="40" w:before="40"/>
            </w:pPr>
            <w:r>
              <w:rPr>
                <w:rFonts w:ascii="Calibri" w:hAnsi="Calibri"/>
                <w:b w:val="0"/>
                <w:i w:val="0"/>
                <w:sz w:val="17"/>
              </w:rPr>
              <w:t>3 faz, akım trafolu, Modbus RTU çıkışlı</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41</w:t>
            </w:r>
          </w:p>
        </w:tc>
        <w:tc>
          <w:tcPr>
            <w:tcW w:type="dxa" w:w="2438"/>
          </w:tcPr>
          <w:p>
            <w:pPr>
              <w:spacing w:after="40" w:before="40"/>
            </w:pPr>
            <w:r>
              <w:rPr>
                <w:rFonts w:ascii="Calibri" w:hAnsi="Calibri"/>
                <w:b/>
                <w:i w:val="0"/>
                <w:sz w:val="17"/>
              </w:rPr>
              <w:t>Akım trafosu</w:t>
            </w:r>
          </w:p>
        </w:tc>
        <w:tc>
          <w:tcPr>
            <w:tcW w:type="dxa" w:w="4762"/>
          </w:tcPr>
          <w:p>
            <w:pPr>
              <w:spacing w:after="40" w:before="40"/>
            </w:pPr>
            <w:r>
              <w:rPr>
                <w:rFonts w:ascii="Calibri" w:hAnsi="Calibri"/>
                <w:b w:val="0"/>
                <w:i w:val="0"/>
                <w:sz w:val="17"/>
              </w:rPr>
              <w:t>Sınıf 1, oran belirtilmiş (örn. 200/5 A)</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42</w:t>
            </w:r>
          </w:p>
        </w:tc>
        <w:tc>
          <w:tcPr>
            <w:tcW w:type="dxa" w:w="2438"/>
            <w:shd w:val="clear" w:fill="F4F8FC"/>
          </w:tcPr>
          <w:p>
            <w:pPr>
              <w:spacing w:after="40" w:before="40"/>
            </w:pPr>
            <w:r>
              <w:rPr>
                <w:rFonts w:ascii="Calibri" w:hAnsi="Calibri"/>
                <w:b/>
                <w:i w:val="0"/>
                <w:sz w:val="17"/>
              </w:rPr>
              <w:t>Kompanzasyon kondansatörü, alçak gerilim</w:t>
            </w:r>
          </w:p>
        </w:tc>
        <w:tc>
          <w:tcPr>
            <w:tcW w:type="dxa" w:w="4762"/>
            <w:shd w:val="clear" w:fill="F4F8FC"/>
          </w:tcPr>
          <w:p>
            <w:pPr>
              <w:spacing w:after="40" w:before="40"/>
            </w:pPr>
            <w:r>
              <w:rPr>
                <w:rFonts w:ascii="Calibri" w:hAnsi="Calibri"/>
                <w:b w:val="0"/>
                <w:i w:val="0"/>
                <w:sz w:val="17"/>
              </w:rPr>
              <w:t>Üç fazlı, kendini onaran tip, deşarj dirençli, TS EN 60831-1. Anma gücü (kVAr) ve anma gerilimi (V) satır bazında birlikte yazılır — aynı kVAr farklı anma geriliminde şebekede farklı güç verir; her bileşim ayrı satırda fiyatlandırılır</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43</w:t>
            </w:r>
          </w:p>
        </w:tc>
        <w:tc>
          <w:tcPr>
            <w:tcW w:type="dxa" w:w="2438"/>
          </w:tcPr>
          <w:p>
            <w:pPr>
              <w:spacing w:after="40" w:before="40"/>
            </w:pPr>
            <w:r>
              <w:rPr>
                <w:rFonts w:ascii="Calibri" w:hAnsi="Calibri"/>
                <w:b/>
                <w:i w:val="0"/>
                <w:sz w:val="17"/>
              </w:rPr>
              <w:t>Kondansatör kontaktörü</w:t>
            </w:r>
          </w:p>
        </w:tc>
        <w:tc>
          <w:tcPr>
            <w:tcW w:type="dxa" w:w="4762"/>
          </w:tcPr>
          <w:p>
            <w:pPr>
              <w:spacing w:after="40" w:before="40"/>
            </w:pPr>
            <w:r>
              <w:rPr>
                <w:rFonts w:ascii="Calibri" w:hAnsi="Calibri"/>
                <w:b w:val="0"/>
                <w:i w:val="0"/>
                <w:sz w:val="17"/>
              </w:rPr>
              <w:t>Ön şarj (sönümleme) dirençli, AC-6b kullanım kategorisi, TS EN 60947-4-1; anahtarlayacağı kondansatör gücü (kVAr) satırda yazılır</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44</w:t>
            </w:r>
          </w:p>
        </w:tc>
        <w:tc>
          <w:tcPr>
            <w:tcW w:type="dxa" w:w="2438"/>
            <w:shd w:val="clear" w:fill="F4F8FC"/>
          </w:tcPr>
          <w:p>
            <w:pPr>
              <w:spacing w:after="40" w:before="40"/>
            </w:pPr>
            <w:r>
              <w:rPr>
                <w:rFonts w:ascii="Calibri" w:hAnsi="Calibri"/>
                <w:b/>
                <w:i w:val="0"/>
                <w:sz w:val="17"/>
              </w:rPr>
              <w:t>Reaktif güç kontrol rölesi</w:t>
            </w:r>
          </w:p>
        </w:tc>
        <w:tc>
          <w:tcPr>
            <w:tcW w:type="dxa" w:w="4762"/>
            <w:shd w:val="clear" w:fill="F4F8FC"/>
          </w:tcPr>
          <w:p>
            <w:pPr>
              <w:spacing w:after="40" w:before="40"/>
            </w:pPr>
            <w:r>
              <w:rPr>
                <w:rFonts w:ascii="Calibri" w:hAnsi="Calibri"/>
                <w:b w:val="0"/>
                <w:i w:val="0"/>
                <w:sz w:val="17"/>
              </w:rPr>
              <w:t>Kademe sayısı satır bazında yazılır; endüktif ve kapasitif oranı ayrı gösteren, kademe devreye alma ve çıkarma süresi ayarlanabilir</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45</w:t>
            </w:r>
          </w:p>
        </w:tc>
        <w:tc>
          <w:tcPr>
            <w:tcW w:type="dxa" w:w="2438"/>
          </w:tcPr>
          <w:p>
            <w:pPr>
              <w:spacing w:after="40" w:before="40"/>
            </w:pPr>
            <w:r>
              <w:rPr>
                <w:rFonts w:ascii="Calibri" w:hAnsi="Calibri"/>
                <w:b/>
                <w:i w:val="0"/>
                <w:sz w:val="17"/>
              </w:rPr>
              <w:t>Şönt reaktör, alçak gerilim</w:t>
            </w:r>
          </w:p>
        </w:tc>
        <w:tc>
          <w:tcPr>
            <w:tcW w:type="dxa" w:w="4762"/>
          </w:tcPr>
          <w:p>
            <w:pPr>
              <w:spacing w:after="40" w:before="40"/>
            </w:pPr>
            <w:r>
              <w:rPr>
                <w:rFonts w:ascii="Calibri" w:hAnsi="Calibri"/>
                <w:b w:val="0"/>
                <w:i w:val="0"/>
                <w:sz w:val="17"/>
              </w:rPr>
              <w:t>Üç fazlı, kapasitif reaktifi dengelemek için, TS EN 60076-6; anma gücü (kVAr) satırda yazılır</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46</w:t>
            </w:r>
          </w:p>
        </w:tc>
        <w:tc>
          <w:tcPr>
            <w:tcW w:type="dxa" w:w="2438"/>
            <w:shd w:val="clear" w:fill="F4F8FC"/>
          </w:tcPr>
          <w:p>
            <w:pPr>
              <w:spacing w:after="40" w:before="40"/>
            </w:pPr>
            <w:r>
              <w:rPr>
                <w:rFonts w:ascii="Calibri" w:hAnsi="Calibri"/>
                <w:b/>
                <w:i w:val="0"/>
                <w:sz w:val="17"/>
              </w:rPr>
              <w:t>Harmonik filtre reaktörü (detuned)</w:t>
            </w:r>
          </w:p>
        </w:tc>
        <w:tc>
          <w:tcPr>
            <w:tcW w:type="dxa" w:w="4762"/>
            <w:shd w:val="clear" w:fill="F4F8FC"/>
          </w:tcPr>
          <w:p>
            <w:pPr>
              <w:spacing w:after="40" w:before="40"/>
            </w:pPr>
            <w:r>
              <w:rPr>
                <w:rFonts w:ascii="Calibri" w:hAnsi="Calibri"/>
                <w:b w:val="0"/>
                <w:i w:val="0"/>
                <w:sz w:val="17"/>
              </w:rPr>
              <w:t>Üç fazlı, TS EN 60076-6; reaktör oranı (ör. %5,67 / %7 / %14) ile eşleşeceği kondansatörün gücü ve anma gerilimi satırda yazılır</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47</w:t>
            </w:r>
          </w:p>
        </w:tc>
        <w:tc>
          <w:tcPr>
            <w:tcW w:type="dxa" w:w="2438"/>
          </w:tcPr>
          <w:p>
            <w:pPr>
              <w:spacing w:after="40" w:before="40"/>
            </w:pPr>
            <w:r>
              <w:rPr>
                <w:rFonts w:ascii="Calibri" w:hAnsi="Calibri"/>
                <w:b/>
                <w:i w:val="0"/>
                <w:sz w:val="17"/>
              </w:rPr>
              <w:t>Sinyal lambası, pano</w:t>
            </w:r>
          </w:p>
        </w:tc>
        <w:tc>
          <w:tcPr>
            <w:tcW w:type="dxa" w:w="4762"/>
          </w:tcPr>
          <w:p>
            <w:pPr>
              <w:spacing w:after="40" w:before="40"/>
            </w:pPr>
            <w:r>
              <w:rPr>
                <w:rFonts w:ascii="Calibri" w:hAnsi="Calibri"/>
                <w:b w:val="0"/>
                <w:i w:val="0"/>
                <w:sz w:val="17"/>
              </w:rPr>
              <w:t>22 mm, LED, 230 V, kırmızı/yeşil/sarı</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48</w:t>
            </w:r>
          </w:p>
        </w:tc>
        <w:tc>
          <w:tcPr>
            <w:tcW w:type="dxa" w:w="2438"/>
            <w:shd w:val="clear" w:fill="F4F8FC"/>
          </w:tcPr>
          <w:p>
            <w:pPr>
              <w:spacing w:after="40" w:before="40"/>
            </w:pPr>
            <w:r>
              <w:rPr>
                <w:rFonts w:ascii="Calibri" w:hAnsi="Calibri"/>
                <w:b/>
                <w:i w:val="0"/>
                <w:sz w:val="17"/>
              </w:rPr>
              <w:t>Acil stop butonu</w:t>
            </w:r>
          </w:p>
        </w:tc>
        <w:tc>
          <w:tcPr>
            <w:tcW w:type="dxa" w:w="4762"/>
            <w:shd w:val="clear" w:fill="F4F8FC"/>
          </w:tcPr>
          <w:p>
            <w:pPr>
              <w:spacing w:after="40" w:before="40"/>
            </w:pPr>
            <w:r>
              <w:rPr>
                <w:rFonts w:ascii="Calibri" w:hAnsi="Calibri"/>
                <w:b w:val="0"/>
                <w:i w:val="0"/>
                <w:sz w:val="17"/>
              </w:rPr>
              <w:t>22 mm, mantar kafa, çevirmeli kilitli, 1 NC kontak, TS EN 60947-5-5</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bl>
    <w:p>
      <w:pPr>
        <w:spacing w:after="200" w:before="0"/>
      </w:pPr>
    </w:p>
    <w:p>
      <w:pPr>
        <w:spacing w:before="280" w:after="100"/>
      </w:pPr>
      <w:r>
        <w:rPr>
          <w:rFonts w:ascii="Calibri" w:hAnsi="Calibri"/>
          <w:b/>
          <w:i w:val="0"/>
          <w:color w:val="1F2937"/>
          <w:sz w:val="26"/>
        </w:rPr>
        <w:t>15. Onay</w:t>
      </w:r>
    </w:p>
    <w:p>
      <w:pPr>
        <w:spacing w:after="280" w:before="0"/>
      </w:pPr>
      <w:r>
        <w:rPr>
          <w:rFonts w:ascii="Calibri" w:hAnsi="Calibri"/>
          <w:b w:val="0"/>
          <w:i w:val="0"/>
          <w:sz w:val="20"/>
        </w:rPr>
        <w:t>Bu teknik şartname … sayfa ve … maddeden ibaret olup, aşağıda adı geçenler tarafından düzenlenmiş ve imzalanmıştır.</w:t>
      </w:r>
    </w:p>
    <w:tbl>
      <w:tblPr>
        <w:tblW w:type="auto" w:w="0"/>
        <w:tblLook w:firstColumn="1" w:firstRow="1" w:lastColumn="0" w:lastRow="0" w:noHBand="0" w:noVBand="1" w:val="04A0"/>
      </w:tblPr>
      <w:tblGrid>
        <w:gridCol w:w="3362"/>
        <w:gridCol w:w="3362"/>
        <w:gridCol w:w="3362"/>
      </w:tblGrid>
      <w:tr>
        <w:tc>
          <w:tcPr>
            <w:tcW w:type="dxa" w:w="3175"/>
            <w:shd w:val="clear" w:fill="F4F8FC"/>
          </w:tcPr>
          <w:p>
            <w:pPr>
              <w:spacing w:after="80"/>
            </w:pPr>
            <w:r>
              <w:rPr>
                <w:rFonts w:ascii="Calibri" w:hAnsi="Calibri"/>
                <w:b/>
                <w:i w:val="0"/>
                <w:color w:val="1F2937"/>
                <w:sz w:val="19"/>
              </w:rPr>
              <w:t>Düzenleyen</w:t>
            </w:r>
          </w:p>
        </w:tc>
        <w:tc>
          <w:tcPr>
            <w:tcW w:type="dxa" w:w="3175"/>
            <w:shd w:val="clear" w:fill="F4F8FC"/>
          </w:tcPr>
          <w:p>
            <w:pPr>
              <w:spacing w:after="80"/>
            </w:pPr>
            <w:r>
              <w:rPr>
                <w:rFonts w:ascii="Calibri" w:hAnsi="Calibri"/>
                <w:b/>
                <w:i w:val="0"/>
                <w:color w:val="1F2937"/>
                <w:sz w:val="19"/>
              </w:rPr>
              <w:t>Kontrol eden</w:t>
            </w:r>
          </w:p>
        </w:tc>
        <w:tc>
          <w:tcPr>
            <w:tcW w:type="dxa" w:w="3175"/>
            <w:shd w:val="clear" w:fill="F4F8FC"/>
          </w:tcPr>
          <w:p>
            <w:pPr>
              <w:spacing w:after="80"/>
            </w:pPr>
            <w:r>
              <w:rPr>
                <w:rFonts w:ascii="Calibri" w:hAnsi="Calibri"/>
                <w:b/>
                <w:i w:val="0"/>
                <w:color w:val="1F2937"/>
                <w:sz w:val="19"/>
              </w:rPr>
              <w:t>Onaylayan</w:t>
            </w:r>
          </w:p>
        </w:tc>
      </w:tr>
      <w:tr>
        <w:tc>
          <w:tcPr>
            <w:tcW w:type="dxa" w:w="3175"/>
          </w:tcPr>
          <w:p>
            <w:pPr>
              <w:spacing w:after="80"/>
            </w:pPr>
            <w:r>
              <w:rPr>
                <w:rFonts w:ascii="Calibri" w:hAnsi="Calibri"/>
                <w:b w:val="0"/>
                <w:i w:val="0"/>
                <w:sz w:val="19"/>
              </w:rPr>
              <w:t>Adı Soyadı: …</w:t>
            </w:r>
          </w:p>
        </w:tc>
        <w:tc>
          <w:tcPr>
            <w:tcW w:type="dxa" w:w="3175"/>
          </w:tcPr>
          <w:p>
            <w:pPr>
              <w:spacing w:after="80"/>
            </w:pPr>
            <w:r>
              <w:rPr>
                <w:rFonts w:ascii="Calibri" w:hAnsi="Calibri"/>
                <w:b w:val="0"/>
                <w:i w:val="0"/>
                <w:sz w:val="19"/>
              </w:rPr>
              <w:t>Adı Soyadı: …</w:t>
            </w:r>
          </w:p>
        </w:tc>
        <w:tc>
          <w:tcPr>
            <w:tcW w:type="dxa" w:w="3175"/>
          </w:tcPr>
          <w:p>
            <w:pPr>
              <w:spacing w:after="80"/>
            </w:pPr>
            <w:r>
              <w:rPr>
                <w:rFonts w:ascii="Calibri" w:hAnsi="Calibri"/>
                <w:b w:val="0"/>
                <w:i w:val="0"/>
                <w:sz w:val="19"/>
              </w:rPr>
              <w:t>Adı Soyadı: …</w:t>
            </w:r>
          </w:p>
        </w:tc>
      </w:tr>
      <w:tr>
        <w:tc>
          <w:tcPr>
            <w:tcW w:type="dxa" w:w="3175"/>
          </w:tcPr>
          <w:p>
            <w:pPr>
              <w:spacing w:after="80"/>
            </w:pPr>
            <w:r>
              <w:rPr>
                <w:rFonts w:ascii="Calibri" w:hAnsi="Calibri"/>
                <w:b w:val="0"/>
                <w:i w:val="0"/>
                <w:sz w:val="19"/>
              </w:rPr>
              <w:t>Unvanı: …</w:t>
            </w:r>
          </w:p>
        </w:tc>
        <w:tc>
          <w:tcPr>
            <w:tcW w:type="dxa" w:w="3175"/>
          </w:tcPr>
          <w:p>
            <w:pPr>
              <w:spacing w:after="80"/>
            </w:pPr>
            <w:r>
              <w:rPr>
                <w:rFonts w:ascii="Calibri" w:hAnsi="Calibri"/>
                <w:b w:val="0"/>
                <w:i w:val="0"/>
                <w:sz w:val="19"/>
              </w:rPr>
              <w:t>Unvanı: …</w:t>
            </w:r>
          </w:p>
        </w:tc>
        <w:tc>
          <w:tcPr>
            <w:tcW w:type="dxa" w:w="3175"/>
          </w:tcPr>
          <w:p>
            <w:pPr>
              <w:spacing w:after="80"/>
            </w:pPr>
            <w:r>
              <w:rPr>
                <w:rFonts w:ascii="Calibri" w:hAnsi="Calibri"/>
                <w:b w:val="0"/>
                <w:i w:val="0"/>
                <w:sz w:val="19"/>
              </w:rPr>
              <w:t>Unvanı: …</w:t>
            </w:r>
          </w:p>
        </w:tc>
      </w:tr>
      <w:tr>
        <w:tc>
          <w:tcPr>
            <w:tcW w:type="dxa" w:w="3175"/>
          </w:tcPr>
          <w:p>
            <w:pPr>
              <w:spacing w:after="80"/>
            </w:pPr>
            <w:r>
              <w:rPr>
                <w:rFonts w:ascii="Calibri" w:hAnsi="Calibri"/>
                <w:b w:val="0"/>
                <w:i w:val="0"/>
                <w:sz w:val="19"/>
              </w:rPr>
              <w:t>İmza:</w:t>
            </w:r>
          </w:p>
        </w:tc>
        <w:tc>
          <w:tcPr>
            <w:tcW w:type="dxa" w:w="3175"/>
          </w:tcPr>
          <w:p>
            <w:pPr>
              <w:spacing w:after="80"/>
            </w:pPr>
            <w:r>
              <w:rPr>
                <w:rFonts w:ascii="Calibri" w:hAnsi="Calibri"/>
                <w:b w:val="0"/>
                <w:i w:val="0"/>
                <w:sz w:val="19"/>
              </w:rPr>
              <w:t>İmza:</w:t>
            </w:r>
          </w:p>
        </w:tc>
        <w:tc>
          <w:tcPr>
            <w:tcW w:type="dxa" w:w="3175"/>
          </w:tcPr>
          <w:p>
            <w:pPr>
              <w:spacing w:after="80"/>
            </w:pPr>
            <w:r>
              <w:rPr>
                <w:rFonts w:ascii="Calibri" w:hAnsi="Calibri"/>
                <w:b w:val="0"/>
                <w:i w:val="0"/>
                <w:sz w:val="19"/>
              </w:rPr>
              <w:t>İmza:</w:t>
            </w:r>
          </w:p>
        </w:tc>
      </w:tr>
    </w:tbl>
    <w:p>
      <w:pPr>
        <w:spacing w:after="240" w:before="0"/>
      </w:pPr>
    </w:p>
    <w:p>
      <w:pPr>
        <w:spacing w:after="160" w:before="0"/>
      </w:pPr>
      <w:r>
        <w:rPr>
          <w:rFonts w:ascii="Calibri" w:hAnsi="Calibri"/>
          <w:b w:val="0"/>
          <w:i/>
          <w:color w:val="5F7891"/>
          <w:sz w:val="17"/>
        </w:rPr>
        <w:t>Bu şablon genel amaçlı bir örnektir; kurumunuzun ihtiyaç ve mevzuat gereklerine göre uyarlanmalıdır. Nokta nokta (…) bırakılan alanlar idare tarafından doldurulur. 4734 sayılı Kamu İhale Kanunu'nun 12 nci maddesi, belirlenecek teknik kriterlerin verimliliği ve fonksiyonelliği sağlamaya yönelik olmasını, rekabeti engelleyici hususlar içermemesini ve bütün istekliler için fırsat eşitliği sağlamasını arar. Yürürlükteki mevzuat metnini esas alın.</w:t>
      </w:r>
    </w:p>
    <w:p>
      <w:pPr>
        <w:spacing w:after="120" w:before="0"/>
      </w:pPr>
      <w:r>
        <w:rPr>
          <w:rFonts w:ascii="Calibri" w:hAnsi="Calibri"/>
          <w:b w:val="0"/>
          <w:i w:val="0"/>
          <w:color w:val="5F7891"/>
          <w:sz w:val="16"/>
        </w:rPr>
        <w:t>Şablon: AKSCO Ticaret ve Tedarik · https://aksco.com.tr · 0534 335 69 22 · Sürüm 2026-09-25 · Ücretsiz, kayıt gerektirmez</w:t>
      </w:r>
    </w:p>
    <w:sectPr w:rsidR="00FC693F" w:rsidRPr="0006063C" w:rsidSect="00034616">
      <w:pgSz w:w="12240" w:h="15840"/>
      <w:pgMar w:top="1020" w:right="1077" w:bottom="1020"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AKSCO Ticaret ve Tedarik</dc:creator>
  <cp:keywords/>
  <dc:description>generated by python-docx</dc:description>
  <cp:lastModifiedBy/>
  <cp:revision>1</cp:revision>
  <dcterms:created xsi:type="dcterms:W3CDTF">2026-09-25T12:00:00Z</dcterms:created>
  <dcterms:modified xsi:type="dcterms:W3CDTF">2026-09-25T12:00:00Z</dcterms:modified>
  <cp:category/>
</cp:coreProperties>
</file>