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GÖRÜNTÜ, SES VE İLETIŞIM SISTEMI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Görüntü, Ses ve İletişim Sistemi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görüntü, ses ve i̇letişim sistemi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25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Profesyonel ekran (dijital tabela)</w:t>
            </w:r>
          </w:p>
        </w:tc>
        <w:tc>
          <w:tcPr>
            <w:tcW w:type="dxa" w:w="4762"/>
          </w:tcPr>
          <w:p>
            <w:pPr>
              <w:spacing w:after="40" w:before="40"/>
            </w:pPr>
            <w:r>
              <w:rPr>
                <w:rFonts w:ascii="Calibri" w:hAnsi="Calibri"/>
                <w:b w:val="0"/>
                <w:i w:val="0"/>
                <w:sz w:val="17"/>
              </w:rPr>
              <w:t>Ekran boyutu, parlaklık (cd/m²) ve günlük çalışma süresi belirtilmiş, 7/24 kullanım sınıfı, VESA montaj</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Dokunmatik etkileşimli ekran</w:t>
            </w:r>
          </w:p>
        </w:tc>
        <w:tc>
          <w:tcPr>
            <w:tcW w:type="dxa" w:w="4762"/>
            <w:shd w:val="clear" w:fill="F4F8FC"/>
          </w:tcPr>
          <w:p>
            <w:pPr>
              <w:spacing w:after="40" w:before="40"/>
            </w:pPr>
            <w:r>
              <w:rPr>
                <w:rFonts w:ascii="Calibri" w:hAnsi="Calibri"/>
                <w:b w:val="0"/>
                <w:i w:val="0"/>
                <w:sz w:val="17"/>
              </w:rPr>
              <w:t>Ekran boyutu ve dokunma noktası sayısı belirtilmiş, dahili işlemci seçenekli, kalem ve stand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Projeksiyon cihazı</w:t>
            </w:r>
          </w:p>
        </w:tc>
        <w:tc>
          <w:tcPr>
            <w:tcW w:type="dxa" w:w="4762"/>
          </w:tcPr>
          <w:p>
            <w:pPr>
              <w:spacing w:after="40" w:before="40"/>
            </w:pPr>
            <w:r>
              <w:rPr>
                <w:rFonts w:ascii="Calibri" w:hAnsi="Calibri"/>
                <w:b w:val="0"/>
                <w:i w:val="0"/>
                <w:sz w:val="17"/>
              </w:rPr>
              <w:t>Işık akısı (ANSI lümen), çözünürlük ve atım oranı (throw ratio) belirtilmiş, lamba veya lazer ışık kaynağı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Projeksiyon perdesi</w:t>
            </w:r>
          </w:p>
        </w:tc>
        <w:tc>
          <w:tcPr>
            <w:tcW w:type="dxa" w:w="4762"/>
            <w:shd w:val="clear" w:fill="F4F8FC"/>
          </w:tcPr>
          <w:p>
            <w:pPr>
              <w:spacing w:after="40" w:before="40"/>
            </w:pPr>
            <w:r>
              <w:rPr>
                <w:rFonts w:ascii="Calibri" w:hAnsi="Calibri"/>
                <w:b w:val="0"/>
                <w:i w:val="0"/>
                <w:sz w:val="17"/>
              </w:rPr>
              <w:t>Motorlu, tripodlu veya gergi çerçeveli; ölçü ve kazanç (gain) değeri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Ekran ve projeksiyon askı aparatı</w:t>
            </w:r>
          </w:p>
        </w:tc>
        <w:tc>
          <w:tcPr>
            <w:tcW w:type="dxa" w:w="4762"/>
          </w:tcPr>
          <w:p>
            <w:pPr>
              <w:spacing w:after="40" w:before="40"/>
            </w:pPr>
            <w:r>
              <w:rPr>
                <w:rFonts w:ascii="Calibri" w:hAnsi="Calibri"/>
                <w:b w:val="0"/>
                <w:i w:val="0"/>
                <w:sz w:val="17"/>
              </w:rPr>
              <w:t>Tavan veya duvar, taşıma kapasitesi ve VESA uyumu belirtilmiş, eğim ve dönüş ayarlı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Video konferans kamerası</w:t>
            </w:r>
          </w:p>
        </w:tc>
        <w:tc>
          <w:tcPr>
            <w:tcW w:type="dxa" w:w="4762"/>
            <w:shd w:val="clear" w:fill="F4F8FC"/>
          </w:tcPr>
          <w:p>
            <w:pPr>
              <w:spacing w:after="40" w:before="40"/>
            </w:pPr>
            <w:r>
              <w:rPr>
                <w:rFonts w:ascii="Calibri" w:hAnsi="Calibri"/>
                <w:b w:val="0"/>
                <w:i w:val="0"/>
                <w:sz w:val="17"/>
              </w:rPr>
              <w:t>Görüş açısı, yakınlaştırma oranı ve otomatik çerçeveleme desteği belirtilmiş, USB veya IP bağlantı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Video konferans barı (all-in-one)</w:t>
            </w:r>
          </w:p>
        </w:tc>
        <w:tc>
          <w:tcPr>
            <w:tcW w:type="dxa" w:w="4762"/>
          </w:tcPr>
          <w:p>
            <w:pPr>
              <w:spacing w:after="40" w:before="40"/>
            </w:pPr>
            <w:r>
              <w:rPr>
                <w:rFonts w:ascii="Calibri" w:hAnsi="Calibri"/>
                <w:b w:val="0"/>
                <w:i w:val="0"/>
                <w:sz w:val="17"/>
              </w:rPr>
              <w:t>Kamera + mikrofon dizisi + hoparlör tek gövdede; oda büyüklüğü (kişi)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Konferans mikrofonu</w:t>
            </w:r>
          </w:p>
        </w:tc>
        <w:tc>
          <w:tcPr>
            <w:tcW w:type="dxa" w:w="4762"/>
            <w:shd w:val="clear" w:fill="F4F8FC"/>
          </w:tcPr>
          <w:p>
            <w:pPr>
              <w:spacing w:after="40" w:before="40"/>
            </w:pPr>
            <w:r>
              <w:rPr>
                <w:rFonts w:ascii="Calibri" w:hAnsi="Calibri"/>
                <w:b w:val="0"/>
                <w:i w:val="0"/>
                <w:sz w:val="17"/>
              </w:rPr>
              <w:t>Masaüstü sınır (boundary) veya tavan dizi mikrofon; kapsama alanı ve bağlantı tipi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Kablosuz yaka ve el mikrofonu</w:t>
            </w:r>
          </w:p>
        </w:tc>
        <w:tc>
          <w:tcPr>
            <w:tcW w:type="dxa" w:w="4762"/>
          </w:tcPr>
          <w:p>
            <w:pPr>
              <w:spacing w:after="40" w:before="40"/>
            </w:pPr>
            <w:r>
              <w:rPr>
                <w:rFonts w:ascii="Calibri" w:hAnsi="Calibri"/>
                <w:b w:val="0"/>
                <w:i w:val="0"/>
                <w:sz w:val="17"/>
              </w:rPr>
              <w:t>Frekans bandı ve kanal sayısı belirtilmiş, alıcı ünitesi dahil, şarjlı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Anfi (amplifikatör)</w:t>
            </w:r>
          </w:p>
        </w:tc>
        <w:tc>
          <w:tcPr>
            <w:tcW w:type="dxa" w:w="4762"/>
            <w:shd w:val="clear" w:fill="F4F8FC"/>
          </w:tcPr>
          <w:p>
            <w:pPr>
              <w:spacing w:after="40" w:before="40"/>
            </w:pPr>
            <w:r>
              <w:rPr>
                <w:rFonts w:ascii="Calibri" w:hAnsi="Calibri"/>
                <w:b w:val="0"/>
                <w:i w:val="0"/>
                <w:sz w:val="17"/>
              </w:rPr>
              <w:t>Çıkış gücü (W) ve hat tipi (100 V hat veya düşük empedans) belirtilmiş, bölge (zone) sayısı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Tavan hoparlörü</w:t>
            </w:r>
          </w:p>
        </w:tc>
        <w:tc>
          <w:tcPr>
            <w:tcW w:type="dxa" w:w="4762"/>
          </w:tcPr>
          <w:p>
            <w:pPr>
              <w:spacing w:after="40" w:before="40"/>
            </w:pPr>
            <w:r>
              <w:rPr>
                <w:rFonts w:ascii="Calibri" w:hAnsi="Calibri"/>
                <w:b w:val="0"/>
                <w:i w:val="0"/>
                <w:sz w:val="17"/>
              </w:rPr>
              <w:t>100 V hat trafolu, güç kademesi (W) ve kesim çapı belirtilmiş, yangın sınıfı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Duvar ve kolon tipi hoparlör</w:t>
            </w:r>
          </w:p>
        </w:tc>
        <w:tc>
          <w:tcPr>
            <w:tcW w:type="dxa" w:w="4762"/>
            <w:shd w:val="clear" w:fill="F4F8FC"/>
          </w:tcPr>
          <w:p>
            <w:pPr>
              <w:spacing w:after="40" w:before="40"/>
            </w:pPr>
            <w:r>
              <w:rPr>
                <w:rFonts w:ascii="Calibri" w:hAnsi="Calibri"/>
                <w:b w:val="0"/>
                <w:i w:val="0"/>
                <w:sz w:val="17"/>
              </w:rPr>
              <w:t>Güç ve kapsama açısı belirtilmiş, iç veya dış ortam (IP sınıfı)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Seslendirme kablosu ve hat aksesuarı</w:t>
            </w:r>
          </w:p>
        </w:tc>
        <w:tc>
          <w:tcPr>
            <w:tcW w:type="dxa" w:w="4762"/>
          </w:tcPr>
          <w:p>
            <w:pPr>
              <w:spacing w:after="40" w:before="40"/>
            </w:pPr>
            <w:r>
              <w:rPr>
                <w:rFonts w:ascii="Calibri" w:hAnsi="Calibri"/>
                <w:b w:val="0"/>
                <w:i w:val="0"/>
                <w:sz w:val="17"/>
              </w:rPr>
              <w:t>Hoparlör kablosu kesiti, hat sonlandırma ve bağlantı elemanları; kanal içi veya alçıpan üstü çekim</w:t>
            </w:r>
          </w:p>
        </w:tc>
        <w:tc>
          <w:tcPr>
            <w:tcW w:type="dxa" w:w="850"/>
          </w:tcPr>
          <w:p>
            <w:pPr>
              <w:spacing w:after="40" w:before="40"/>
              <w:jc w:val="center"/>
            </w:pPr>
            <w:r>
              <w:rPr>
                <w:rFonts w:ascii="Calibri" w:hAnsi="Calibri"/>
                <w:b w:val="0"/>
                <w:i w:val="0"/>
                <w:sz w:val="17"/>
              </w:rPr>
              <w:t>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Anons ve çağrı mikrofonu</w:t>
            </w:r>
          </w:p>
        </w:tc>
        <w:tc>
          <w:tcPr>
            <w:tcW w:type="dxa" w:w="4762"/>
            <w:shd w:val="clear" w:fill="F4F8FC"/>
          </w:tcPr>
          <w:p>
            <w:pPr>
              <w:spacing w:after="40" w:before="40"/>
            </w:pPr>
            <w:r>
              <w:rPr>
                <w:rFonts w:ascii="Calibri" w:hAnsi="Calibri"/>
                <w:b w:val="0"/>
                <w:i w:val="0"/>
                <w:sz w:val="17"/>
              </w:rPr>
              <w:t>Bölge seçim tuşlu, ön ikaz sesi (chime) özellikli, anfi ile uyumlu</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IP telefon</w:t>
            </w:r>
          </w:p>
        </w:tc>
        <w:tc>
          <w:tcPr>
            <w:tcW w:type="dxa" w:w="4762"/>
          </w:tcPr>
          <w:p>
            <w:pPr>
              <w:spacing w:after="40" w:before="40"/>
            </w:pPr>
            <w:r>
              <w:rPr>
                <w:rFonts w:ascii="Calibri" w:hAnsi="Calibri"/>
                <w:b w:val="0"/>
                <w:i w:val="0"/>
                <w:sz w:val="17"/>
              </w:rPr>
              <w:t>Hat sayısı, ekran tipi ve PoE desteği belirtilmiş, kulaklık portu, santral protokolü uyumluluğu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Telefon santrali (IP PBX)</w:t>
            </w:r>
          </w:p>
        </w:tc>
        <w:tc>
          <w:tcPr>
            <w:tcW w:type="dxa" w:w="4762"/>
            <w:shd w:val="clear" w:fill="F4F8FC"/>
          </w:tcPr>
          <w:p>
            <w:pPr>
              <w:spacing w:after="40" w:before="40"/>
            </w:pPr>
            <w:r>
              <w:rPr>
                <w:rFonts w:ascii="Calibri" w:hAnsi="Calibri"/>
                <w:b w:val="0"/>
                <w:i w:val="0"/>
                <w:sz w:val="17"/>
              </w:rPr>
              <w:t>Dahili ve eşzamanlı görüşme kapasitesi belirtilmiş, kayıt ve sesli yanıt modülleri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Telsiz el terminali</w:t>
            </w:r>
          </w:p>
        </w:tc>
        <w:tc>
          <w:tcPr>
            <w:tcW w:type="dxa" w:w="4762"/>
          </w:tcPr>
          <w:p>
            <w:pPr>
              <w:spacing w:after="40" w:before="40"/>
            </w:pPr>
            <w:r>
              <w:rPr>
                <w:rFonts w:ascii="Calibri" w:hAnsi="Calibri"/>
                <w:b w:val="0"/>
                <w:i w:val="0"/>
                <w:sz w:val="17"/>
              </w:rPr>
              <w:t>Frekans bandı, kanal sayısı ve çalışma süresi belirtilmiş, çoklu şarj ünitesi ayrı satır, lisans gerekliliği teklifte belirtilir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Kapı interkom / diafon sistemi</w:t>
            </w:r>
          </w:p>
        </w:tc>
        <w:tc>
          <w:tcPr>
            <w:tcW w:type="dxa" w:w="4762"/>
            <w:shd w:val="clear" w:fill="F4F8FC"/>
          </w:tcPr>
          <w:p>
            <w:pPr>
              <w:spacing w:after="40" w:before="40"/>
            </w:pPr>
            <w:r>
              <w:rPr>
                <w:rFonts w:ascii="Calibri" w:hAnsi="Calibri"/>
                <w:b w:val="0"/>
                <w:i w:val="0"/>
                <w:sz w:val="17"/>
              </w:rPr>
              <w:t>Görüntülü veya sesli, daire/kapı sayısı belirtilmiş, kapı paneli ve iç ünite ayrı satır</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HDMI ve görüntü kablosu</w:t>
            </w:r>
          </w:p>
        </w:tc>
        <w:tc>
          <w:tcPr>
            <w:tcW w:type="dxa" w:w="4762"/>
          </w:tcPr>
          <w:p>
            <w:pPr>
              <w:spacing w:after="40" w:before="40"/>
            </w:pPr>
            <w:r>
              <w:rPr>
                <w:rFonts w:ascii="Calibri" w:hAnsi="Calibri"/>
                <w:b w:val="0"/>
                <w:i w:val="0"/>
                <w:sz w:val="17"/>
              </w:rPr>
              <w:t>Sürüm ve desteklenen çözünürlük belirtilmiş, boy 1–20 m, uzun mesafede aktif veya fiber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Sinyal dağıtıcı ve seçici (matrix/splitter)</w:t>
            </w:r>
          </w:p>
        </w:tc>
        <w:tc>
          <w:tcPr>
            <w:tcW w:type="dxa" w:w="4762"/>
            <w:shd w:val="clear" w:fill="F4F8FC"/>
          </w:tcPr>
          <w:p>
            <w:pPr>
              <w:spacing w:after="40" w:before="40"/>
            </w:pPr>
            <w:r>
              <w:rPr>
                <w:rFonts w:ascii="Calibri" w:hAnsi="Calibri"/>
                <w:b w:val="0"/>
                <w:i w:val="0"/>
                <w:sz w:val="17"/>
              </w:rPr>
              <w:t>Giriş-çıkış sayısı ve desteklenen çözünürlük belirtilmiş, uzaktan kumanda veya kontrol arayüzü</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Kablosuz sunum cihazı</w:t>
            </w:r>
          </w:p>
        </w:tc>
        <w:tc>
          <w:tcPr>
            <w:tcW w:type="dxa" w:w="4762"/>
          </w:tcPr>
          <w:p>
            <w:pPr>
              <w:spacing w:after="40" w:before="40"/>
            </w:pPr>
            <w:r>
              <w:rPr>
                <w:rFonts w:ascii="Calibri" w:hAnsi="Calibri"/>
                <w:b w:val="0"/>
                <w:i w:val="0"/>
                <w:sz w:val="17"/>
              </w:rPr>
              <w:t>Eşzamanlı bağlantı sayısı ve desteklenen platformlar belirtilmiş, verici (dongle) adedi ayrı satır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Toplantı odası rezervasyon paneli</w:t>
            </w:r>
          </w:p>
        </w:tc>
        <w:tc>
          <w:tcPr>
            <w:tcW w:type="dxa" w:w="4762"/>
            <w:shd w:val="clear" w:fill="F4F8FC"/>
          </w:tcPr>
          <w:p>
            <w:pPr>
              <w:spacing w:after="40" w:before="40"/>
            </w:pPr>
            <w:r>
              <w:rPr>
                <w:rFonts w:ascii="Calibri" w:hAnsi="Calibri"/>
                <w:b w:val="0"/>
                <w:i w:val="0"/>
                <w:sz w:val="17"/>
              </w:rPr>
              <w:t>Kapı önü dokunmatik panel, PoE beslemeli, takvim sistemi uyumluluğu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Rack ve AV kabini</w:t>
            </w:r>
          </w:p>
        </w:tc>
        <w:tc>
          <w:tcPr>
            <w:tcW w:type="dxa" w:w="4762"/>
          </w:tcPr>
          <w:p>
            <w:pPr>
              <w:spacing w:after="40" w:before="40"/>
            </w:pPr>
            <w:r>
              <w:rPr>
                <w:rFonts w:ascii="Calibri" w:hAnsi="Calibri"/>
                <w:b w:val="0"/>
                <w:i w:val="0"/>
                <w:sz w:val="17"/>
              </w:rPr>
              <w:t>19 inç, U yüksekliği belirtilmiş, havalandırmalı, kablo geçişli, priz bloğu ayrı satır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Akustik toplantı odası düzenlemesi</w:t>
            </w:r>
          </w:p>
        </w:tc>
        <w:tc>
          <w:tcPr>
            <w:tcW w:type="dxa" w:w="4762"/>
            <w:shd w:val="clear" w:fill="F4F8FC"/>
          </w:tcPr>
          <w:p>
            <w:pPr>
              <w:spacing w:after="40" w:before="40"/>
            </w:pPr>
            <w:r>
              <w:rPr>
                <w:rFonts w:ascii="Calibri" w:hAnsi="Calibri"/>
                <w:b w:val="0"/>
                <w:i w:val="0"/>
                <w:sz w:val="17"/>
              </w:rPr>
              <w:t>Duvar paneli, tavan bafl ve halı ile yankı süresinin düşürülmesi; ölçüm ve uygulama ayrı satır</w:t>
            </w:r>
          </w:p>
        </w:tc>
        <w:tc>
          <w:tcPr>
            <w:tcW w:type="dxa" w:w="850"/>
            <w:shd w:val="clear" w:fill="F4F8FC"/>
          </w:tcPr>
          <w:p>
            <w:pPr>
              <w:spacing w:after="40" w:before="40"/>
              <w:jc w:val="center"/>
            </w:pPr>
            <w:r>
              <w:rPr>
                <w:rFonts w:ascii="Calibri" w:hAnsi="Calibri"/>
                <w:b w:val="0"/>
                <w:i w:val="0"/>
                <w:sz w:val="17"/>
              </w:rPr>
              <w:t>Hizmet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Kurulum, kablolama ve devreye alma</w:t>
            </w:r>
          </w:p>
        </w:tc>
        <w:tc>
          <w:tcPr>
            <w:tcW w:type="dxa" w:w="4762"/>
          </w:tcPr>
          <w:p>
            <w:pPr>
              <w:spacing w:after="40" w:before="40"/>
            </w:pPr>
            <w:r>
              <w:rPr>
                <w:rFonts w:ascii="Calibri" w:hAnsi="Calibri"/>
                <w:b w:val="0"/>
                <w:i w:val="0"/>
                <w:sz w:val="17"/>
              </w:rPr>
              <w:t>Kablo çekimi, montaj, konfigürasyon ve kullanıcı eğitimi; oda başına veya gün başına fiyatlanır</w:t>
            </w:r>
          </w:p>
        </w:tc>
        <w:tc>
          <w:tcPr>
            <w:tcW w:type="dxa" w:w="850"/>
          </w:tcPr>
          <w:p>
            <w:pPr>
              <w:spacing w:after="40" w:before="40"/>
              <w:jc w:val="center"/>
            </w:pPr>
            <w:r>
              <w:rPr>
                <w:rFonts w:ascii="Calibri" w:hAnsi="Calibri"/>
                <w:b w:val="0"/>
                <w:i w:val="0"/>
                <w:sz w:val="17"/>
              </w:rPr>
              <w:t>Hizmet</w:t>
            </w:r>
          </w:p>
        </w:tc>
        <w:tc>
          <w:tcPr>
            <w:tcW w:type="dxa" w:w="850"/>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