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FURNITURE AND OFFICE EQUIPMENT</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Furniture and Office Equipment</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furniture and office equipment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Desk, straight</w:t>
            </w:r>
          </w:p>
        </w:tc>
        <w:tc>
          <w:tcPr>
            <w:tcW w:type="dxa" w:w="4762"/>
          </w:tcPr>
          <w:p>
            <w:pPr>
              <w:spacing w:after="40" w:before="40"/>
            </w:pPr>
            <w:r>
              <w:rPr>
                <w:rFonts w:ascii="Calibri" w:hAnsi="Calibri"/>
                <w:b w:val="0"/>
                <w:i w:val="0"/>
                <w:sz w:val="17"/>
              </w:rPr>
              <w:t>Top size, at least 18 mm board, 2 mm edge banding, cable port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Desk, L-shaped</w:t>
            </w:r>
          </w:p>
        </w:tc>
        <w:tc>
          <w:tcPr>
            <w:tcW w:type="dxa" w:w="4762"/>
            <w:shd w:val="clear" w:fill="F4F8FC"/>
          </w:tcPr>
          <w:p>
            <w:pPr>
              <w:spacing w:after="40" w:before="40"/>
            </w:pPr>
            <w:r>
              <w:rPr>
                <w:rFonts w:ascii="Calibri" w:hAnsi="Calibri"/>
                <w:b w:val="0"/>
                <w:i w:val="0"/>
                <w:sz w:val="17"/>
              </w:rPr>
              <w:t>Main top and return, same board thickness and edge banding</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Height adjustable desk</w:t>
            </w:r>
          </w:p>
        </w:tc>
        <w:tc>
          <w:tcPr>
            <w:tcW w:type="dxa" w:w="4762"/>
          </w:tcPr>
          <w:p>
            <w:pPr>
              <w:spacing w:after="40" w:before="40"/>
            </w:pPr>
            <w:r>
              <w:rPr>
                <w:rFonts w:ascii="Calibri" w:hAnsi="Calibri"/>
                <w:b w:val="0"/>
                <w:i w:val="0"/>
                <w:sz w:val="17"/>
              </w:rPr>
              <w:t>Dual motor, height range, load capacity and memory control</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Office task chair</w:t>
            </w:r>
          </w:p>
        </w:tc>
        <w:tc>
          <w:tcPr>
            <w:tcW w:type="dxa" w:w="4762"/>
            <w:shd w:val="clear" w:fill="F4F8FC"/>
          </w:tcPr>
          <w:p>
            <w:pPr>
              <w:spacing w:after="40" w:before="40"/>
            </w:pPr>
            <w:r>
              <w:rPr>
                <w:rFonts w:ascii="Calibri" w:hAnsi="Calibri"/>
                <w:b w:val="0"/>
                <w:i w:val="0"/>
                <w:sz w:val="17"/>
              </w:rPr>
              <w:t>Synchro mechanism, lumbar support, gas lift; EN 1335-1 type (A/B/C)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Executive chair</w:t>
            </w:r>
          </w:p>
        </w:tc>
        <w:tc>
          <w:tcPr>
            <w:tcW w:type="dxa" w:w="4762"/>
          </w:tcPr>
          <w:p>
            <w:pPr>
              <w:spacing w:after="40" w:before="40"/>
            </w:pPr>
            <w:r>
              <w:rPr>
                <w:rFonts w:ascii="Calibri" w:hAnsi="Calibri"/>
                <w:b w:val="0"/>
                <w:i w:val="0"/>
                <w:sz w:val="17"/>
              </w:rPr>
              <w:t>High back, headrest, adjustable arms and upholstery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Visitor or meeting chair</w:t>
            </w:r>
          </w:p>
        </w:tc>
        <w:tc>
          <w:tcPr>
            <w:tcW w:type="dxa" w:w="4762"/>
            <w:shd w:val="clear" w:fill="F4F8FC"/>
          </w:tcPr>
          <w:p>
            <w:pPr>
              <w:spacing w:after="40" w:before="40"/>
            </w:pPr>
            <w:r>
              <w:rPr>
                <w:rFonts w:ascii="Calibri" w:hAnsi="Calibri"/>
                <w:b w:val="0"/>
                <w:i w:val="0"/>
                <w:sz w:val="17"/>
              </w:rPr>
              <w:t>Four leg or sled frame; stackable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Mobile pedestal</w:t>
            </w:r>
          </w:p>
        </w:tc>
        <w:tc>
          <w:tcPr>
            <w:tcW w:type="dxa" w:w="4762"/>
          </w:tcPr>
          <w:p>
            <w:pPr>
              <w:spacing w:after="40" w:before="40"/>
            </w:pPr>
            <w:r>
              <w:rPr>
                <w:rFonts w:ascii="Calibri" w:hAnsi="Calibri"/>
                <w:b w:val="0"/>
                <w:i w:val="0"/>
                <w:sz w:val="17"/>
              </w:rPr>
              <w:t>Drawer count, runner type, central lock and load per drawer</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Storage cupboard, doors</w:t>
            </w:r>
          </w:p>
        </w:tc>
        <w:tc>
          <w:tcPr>
            <w:tcW w:type="dxa" w:w="4762"/>
            <w:shd w:val="clear" w:fill="F4F8FC"/>
          </w:tcPr>
          <w:p>
            <w:pPr>
              <w:spacing w:after="40" w:before="40"/>
            </w:pPr>
            <w:r>
              <w:rPr>
                <w:rFonts w:ascii="Calibri" w:hAnsi="Calibri"/>
                <w:b w:val="0"/>
                <w:i w:val="0"/>
                <w:sz w:val="17"/>
              </w:rPr>
              <w:t>Height, shelf count, adjustable shelves and lock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Upper cabinet, glass doors</w:t>
            </w:r>
          </w:p>
        </w:tc>
        <w:tc>
          <w:tcPr>
            <w:tcW w:type="dxa" w:w="4762"/>
          </w:tcPr>
          <w:p>
            <w:pPr>
              <w:spacing w:after="40" w:before="40"/>
            </w:pPr>
            <w:r>
              <w:rPr>
                <w:rFonts w:ascii="Calibri" w:hAnsi="Calibri"/>
                <w:b w:val="0"/>
                <w:i w:val="0"/>
                <w:sz w:val="17"/>
              </w:rPr>
              <w:t>Height, shelf count and glazing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Archive shelving, steel</w:t>
            </w:r>
          </w:p>
        </w:tc>
        <w:tc>
          <w:tcPr>
            <w:tcW w:type="dxa" w:w="4762"/>
            <w:shd w:val="clear" w:fill="F4F8FC"/>
          </w:tcPr>
          <w:p>
            <w:pPr>
              <w:spacing w:after="40" w:before="40"/>
            </w:pPr>
            <w:r>
              <w:rPr>
                <w:rFonts w:ascii="Calibri" w:hAnsi="Calibri"/>
                <w:b w:val="0"/>
                <w:i w:val="0"/>
                <w:sz w:val="17"/>
              </w:rPr>
              <w:t>Bay height, shelf count, load per shelf and coating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Steel filing cabinet</w:t>
            </w:r>
          </w:p>
        </w:tc>
        <w:tc>
          <w:tcPr>
            <w:tcW w:type="dxa" w:w="4762"/>
          </w:tcPr>
          <w:p>
            <w:pPr>
              <w:spacing w:after="40" w:before="40"/>
            </w:pPr>
            <w:r>
              <w:rPr>
                <w:rFonts w:ascii="Calibri" w:hAnsi="Calibri"/>
                <w:b w:val="0"/>
                <w:i w:val="0"/>
                <w:sz w:val="17"/>
              </w:rPr>
              <w:t>Drawer count, full extension runners and central lock</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Staff locker</w:t>
            </w:r>
          </w:p>
        </w:tc>
        <w:tc>
          <w:tcPr>
            <w:tcW w:type="dxa" w:w="4762"/>
            <w:shd w:val="clear" w:fill="F4F8FC"/>
          </w:tcPr>
          <w:p>
            <w:pPr>
              <w:spacing w:after="40" w:before="40"/>
            </w:pPr>
            <w:r>
              <w:rPr>
                <w:rFonts w:ascii="Calibri" w:hAnsi="Calibri"/>
                <w:b w:val="0"/>
                <w:i w:val="0"/>
                <w:sz w:val="17"/>
              </w:rPr>
              <w:t>Compartment count, ventilation, lock type and coating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Meeting table</w:t>
            </w:r>
          </w:p>
        </w:tc>
        <w:tc>
          <w:tcPr>
            <w:tcW w:type="dxa" w:w="4762"/>
          </w:tcPr>
          <w:p>
            <w:pPr>
              <w:spacing w:after="40" w:before="40"/>
            </w:pPr>
            <w:r>
              <w:rPr>
                <w:rFonts w:ascii="Calibri" w:hAnsi="Calibri"/>
                <w:b w:val="0"/>
                <w:i w:val="0"/>
                <w:sz w:val="17"/>
              </w:rPr>
              <w:t>Dimensions, board thickness and cable or power module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Acoustic screen</w:t>
            </w:r>
          </w:p>
        </w:tc>
        <w:tc>
          <w:tcPr>
            <w:tcW w:type="dxa" w:w="4762"/>
            <w:shd w:val="clear" w:fill="F4F8FC"/>
          </w:tcPr>
          <w:p>
            <w:pPr>
              <w:spacing w:after="40" w:before="40"/>
            </w:pPr>
            <w:r>
              <w:rPr>
                <w:rFonts w:ascii="Calibri" w:hAnsi="Calibri"/>
                <w:b w:val="0"/>
                <w:i w:val="0"/>
                <w:sz w:val="17"/>
              </w:rPr>
              <w:t>Height, acoustic infill, fabric finish and fixing method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Sofa and waiting seat</w:t>
            </w:r>
          </w:p>
        </w:tc>
        <w:tc>
          <w:tcPr>
            <w:tcW w:type="dxa" w:w="4762"/>
          </w:tcPr>
          <w:p>
            <w:pPr>
              <w:spacing w:after="40" w:before="40"/>
            </w:pPr>
            <w:r>
              <w:rPr>
                <w:rFonts w:ascii="Calibri" w:hAnsi="Calibri"/>
                <w:b w:val="0"/>
                <w:i w:val="0"/>
                <w:sz w:val="17"/>
              </w:rPr>
              <w:t>Seat count, upholstery and frame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Side and coffee table</w:t>
            </w:r>
          </w:p>
        </w:tc>
        <w:tc>
          <w:tcPr>
            <w:tcW w:type="dxa" w:w="4762"/>
            <w:shd w:val="clear" w:fill="F4F8FC"/>
          </w:tcPr>
          <w:p>
            <w:pPr>
              <w:spacing w:after="40" w:before="40"/>
            </w:pPr>
            <w:r>
              <w:rPr>
                <w:rFonts w:ascii="Calibri" w:hAnsi="Calibri"/>
                <w:b w:val="0"/>
                <w:i w:val="0"/>
                <w:sz w:val="17"/>
              </w:rPr>
              <w:t>Dimensions, top material and frame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Reception counter</w:t>
            </w:r>
          </w:p>
        </w:tc>
        <w:tc>
          <w:tcPr>
            <w:tcW w:type="dxa" w:w="4762"/>
          </w:tcPr>
          <w:p>
            <w:pPr>
              <w:spacing w:after="40" w:before="40"/>
            </w:pPr>
            <w:r>
              <w:rPr>
                <w:rFonts w:ascii="Calibri" w:hAnsi="Calibri"/>
                <w:b w:val="0"/>
                <w:i w:val="0"/>
                <w:sz w:val="17"/>
              </w:rPr>
              <w:t>Dimensions, worktop material and cable management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Cloakroom unit and coat stand</w:t>
            </w:r>
          </w:p>
        </w:tc>
        <w:tc>
          <w:tcPr>
            <w:tcW w:type="dxa" w:w="4762"/>
            <w:shd w:val="clear" w:fill="F4F8FC"/>
          </w:tcPr>
          <w:p>
            <w:pPr>
              <w:spacing w:after="40" w:before="40"/>
            </w:pPr>
            <w:r>
              <w:rPr>
                <w:rFonts w:ascii="Calibri" w:hAnsi="Calibri"/>
                <w:b w:val="0"/>
                <w:i w:val="0"/>
                <w:sz w:val="17"/>
              </w:rPr>
              <w:t>Hook count, rail length and base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Bookcase and shelving unit</w:t>
            </w:r>
          </w:p>
        </w:tc>
        <w:tc>
          <w:tcPr>
            <w:tcW w:type="dxa" w:w="4762"/>
          </w:tcPr>
          <w:p>
            <w:pPr>
              <w:spacing w:after="40" w:before="40"/>
            </w:pPr>
            <w:r>
              <w:rPr>
                <w:rFonts w:ascii="Calibri" w:hAnsi="Calibri"/>
                <w:b w:val="0"/>
                <w:i w:val="0"/>
                <w:sz w:val="17"/>
              </w:rPr>
              <w:t>Height, shelf count, adjustable shelves and load per shelf</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Footrest, ergonomic</w:t>
            </w:r>
          </w:p>
        </w:tc>
        <w:tc>
          <w:tcPr>
            <w:tcW w:type="dxa" w:w="4762"/>
            <w:shd w:val="clear" w:fill="F4F8FC"/>
          </w:tcPr>
          <w:p>
            <w:pPr>
              <w:spacing w:after="40" w:before="40"/>
            </w:pPr>
            <w:r>
              <w:rPr>
                <w:rFonts w:ascii="Calibri" w:hAnsi="Calibri"/>
                <w:b w:val="0"/>
                <w:i w:val="0"/>
                <w:sz w:val="17"/>
              </w:rPr>
              <w:t>Angle and height adjustment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Laptop riser or stand</w:t>
            </w:r>
          </w:p>
        </w:tc>
        <w:tc>
          <w:tcPr>
            <w:tcW w:type="dxa" w:w="4762"/>
          </w:tcPr>
          <w:p>
            <w:pPr>
              <w:spacing w:after="40" w:before="40"/>
            </w:pPr>
            <w:r>
              <w:rPr>
                <w:rFonts w:ascii="Calibri" w:hAnsi="Calibri"/>
                <w:b w:val="0"/>
                <w:i w:val="0"/>
                <w:sz w:val="17"/>
              </w:rPr>
              <w:t>Height range, load capacity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Desktop cable manager</w:t>
            </w:r>
          </w:p>
        </w:tc>
        <w:tc>
          <w:tcPr>
            <w:tcW w:type="dxa" w:w="4762"/>
            <w:shd w:val="clear" w:fill="F4F8FC"/>
          </w:tcPr>
          <w:p>
            <w:pPr>
              <w:spacing w:after="40" w:before="40"/>
            </w:pPr>
            <w:r>
              <w:rPr>
                <w:rFonts w:ascii="Calibri" w:hAnsi="Calibri"/>
                <w:b w:val="0"/>
                <w:i w:val="0"/>
                <w:sz w:val="17"/>
              </w:rPr>
              <w:t>Length, capacity and mounting method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Desktop power and data module</w:t>
            </w:r>
          </w:p>
        </w:tc>
        <w:tc>
          <w:tcPr>
            <w:tcW w:type="dxa" w:w="4762"/>
          </w:tcPr>
          <w:p>
            <w:pPr>
              <w:spacing w:after="40" w:before="40"/>
            </w:pPr>
            <w:r>
              <w:rPr>
                <w:rFonts w:ascii="Calibri" w:hAnsi="Calibri"/>
                <w:b w:val="0"/>
                <w:i w:val="0"/>
                <w:sz w:val="17"/>
              </w:rPr>
              <w:t>Socket and data port count, cut-out size and cable length</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Office waste bin</w:t>
            </w:r>
          </w:p>
        </w:tc>
        <w:tc>
          <w:tcPr>
            <w:tcW w:type="dxa" w:w="4762"/>
            <w:shd w:val="clear" w:fill="F4F8FC"/>
          </w:tcPr>
          <w:p>
            <w:pPr>
              <w:spacing w:after="40" w:before="40"/>
            </w:pPr>
            <w:r>
              <w:rPr>
                <w:rFonts w:ascii="Calibri" w:hAnsi="Calibri"/>
                <w:b w:val="0"/>
                <w:i w:val="0"/>
                <w:sz w:val="17"/>
              </w:rPr>
              <w:t>Capacity, material and segregation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Entrance mat</w:t>
            </w:r>
          </w:p>
        </w:tc>
        <w:tc>
          <w:tcPr>
            <w:tcW w:type="dxa" w:w="4762"/>
          </w:tcPr>
          <w:p>
            <w:pPr>
              <w:spacing w:after="40" w:before="40"/>
            </w:pPr>
            <w:r>
              <w:rPr>
                <w:rFonts w:ascii="Calibri" w:hAnsi="Calibri"/>
                <w:b w:val="0"/>
                <w:i w:val="0"/>
                <w:sz w:val="17"/>
              </w:rPr>
              <w:t>Dimensions, pile type, backing and edge finish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Safe, steel</w:t>
            </w:r>
          </w:p>
        </w:tc>
        <w:tc>
          <w:tcPr>
            <w:tcW w:type="dxa" w:w="4762"/>
            <w:shd w:val="clear" w:fill="F4F8FC"/>
          </w:tcPr>
          <w:p>
            <w:pPr>
              <w:spacing w:after="40" w:before="40"/>
            </w:pPr>
            <w:r>
              <w:rPr>
                <w:rFonts w:ascii="Calibri" w:hAnsi="Calibri"/>
                <w:b w:val="0"/>
                <w:i w:val="0"/>
                <w:sz w:val="17"/>
              </w:rPr>
              <w:t>Internal volume, lock type, fire rating claim and fixing</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Training table, folding</w:t>
            </w:r>
          </w:p>
        </w:tc>
        <w:tc>
          <w:tcPr>
            <w:tcW w:type="dxa" w:w="4762"/>
          </w:tcPr>
          <w:p>
            <w:pPr>
              <w:spacing w:after="40" w:before="40"/>
            </w:pPr>
            <w:r>
              <w:rPr>
                <w:rFonts w:ascii="Calibri" w:hAnsi="Calibri"/>
                <w:b w:val="0"/>
                <w:i w:val="0"/>
                <w:sz w:val="17"/>
              </w:rPr>
              <w:t>Top size, folding mechanism, castors and nesting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Furniture assembly and delivery service</w:t>
            </w:r>
          </w:p>
        </w:tc>
        <w:tc>
          <w:tcPr>
            <w:tcW w:type="dxa" w:w="4762"/>
            <w:shd w:val="clear" w:fill="F4F8FC"/>
          </w:tcPr>
          <w:p>
            <w:pPr>
              <w:spacing w:after="40" w:before="40"/>
            </w:pPr>
            <w:r>
              <w:rPr>
                <w:rFonts w:ascii="Calibri" w:hAnsi="Calibri"/>
                <w:b w:val="0"/>
                <w:i w:val="0"/>
                <w:sz w:val="17"/>
              </w:rPr>
              <w:t>Floor level, lift availability, working hours and waste removal</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