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rFonts w:ascii="Calibri" w:hAnsi="Calibri"/>
          <w:b/>
          <w:i w:val="0"/>
          <w:color w:val="1F2937"/>
          <w:sz w:val="34"/>
        </w:rPr>
        <w:t>TECHNICAL SPECIFICATION</w:t>
      </w:r>
    </w:p>
    <w:p>
      <w:pPr>
        <w:spacing w:after="200" w:before="0"/>
      </w:pPr>
      <w:r>
        <w:rPr>
          <w:rFonts w:ascii="Calibri" w:hAnsi="Calibri"/>
          <w:b/>
          <w:i w:val="0"/>
          <w:color w:val="CA4B04"/>
          <w:sz w:val="24"/>
        </w:rPr>
        <w:t>OFFICE KITCHEN AND BREAKROOM EQUIPMENT</w:t>
      </w:r>
    </w:p>
    <w:tbl>
      <w:tblPr>
        <w:tblW w:type="auto" w:w="0"/>
        <w:jc w:val="left"/>
        <w:tblLook w:firstColumn="1" w:firstRow="1" w:lastColumn="0" w:lastRow="0" w:noHBand="0" w:noVBand="1" w:val="04A0"/>
      </w:tblPr>
      <w:tblGrid>
        <w:gridCol w:w="5043"/>
        <w:gridCol w:w="5043"/>
      </w:tblGrid>
      <w:tr>
        <w:tc>
          <w:tcPr>
            <w:tcW w:type="dxa" w:w="2608"/>
            <w:shd w:val="clear" w:fill="F4F8FC"/>
          </w:tcPr>
          <w:p>
            <w:pPr>
              <w:spacing w:after="40"/>
            </w:pPr>
            <w:r>
              <w:rPr>
                <w:rFonts w:ascii="Calibri" w:hAnsi="Calibri"/>
                <w:b/>
                <w:i w:val="0"/>
                <w:color w:val="1F2937"/>
                <w:sz w:val="18"/>
              </w:rPr>
              <w:t>Buyer / organisation</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Subject</w:t>
            </w:r>
          </w:p>
        </w:tc>
        <w:tc>
          <w:tcPr>
            <w:tcW w:type="dxa" w:w="6917"/>
          </w:tcPr>
          <w:p>
            <w:pPr>
              <w:spacing w:after="40"/>
            </w:pPr>
            <w:r>
              <w:rPr>
                <w:rFonts w:ascii="Calibri" w:hAnsi="Calibri"/>
                <w:b w:val="0"/>
                <w:i w:val="0"/>
                <w:sz w:val="18"/>
              </w:rPr>
              <w:t>Purchase of Office Kitchen and Breakroom Equipment</w:t>
            </w:r>
          </w:p>
        </w:tc>
      </w:tr>
      <w:tr>
        <w:tc>
          <w:tcPr>
            <w:tcW w:type="dxa" w:w="2608"/>
            <w:shd w:val="clear" w:fill="F4F8FC"/>
          </w:tcPr>
          <w:p>
            <w:pPr>
              <w:spacing w:after="40"/>
            </w:pPr>
            <w:r>
              <w:rPr>
                <w:rFonts w:ascii="Calibri" w:hAnsi="Calibri"/>
                <w:b/>
                <w:i w:val="0"/>
                <w:color w:val="1F2937"/>
                <w:sz w:val="18"/>
              </w:rPr>
              <w:t>Specification date</w:t>
            </w:r>
          </w:p>
        </w:tc>
        <w:tc>
          <w:tcPr>
            <w:tcW w:type="dxa" w:w="6917"/>
          </w:tcPr>
          <w:p>
            <w:pPr>
              <w:spacing w:after="40"/>
            </w:pPr>
            <w:r>
              <w:rPr>
                <w:rFonts w:ascii="Calibri" w:hAnsi="Calibri"/>
                <w:b w:val="0"/>
                <w:i w:val="0"/>
                <w:sz w:val="18"/>
              </w:rPr>
              <w:t>…</w:t>
            </w:r>
          </w:p>
        </w:tc>
      </w:tr>
      <w:tr>
        <w:tc>
          <w:tcPr>
            <w:tcW w:type="dxa" w:w="2608"/>
            <w:shd w:val="clear" w:fill="F4F8FC"/>
          </w:tcPr>
          <w:p>
            <w:pPr>
              <w:spacing w:after="40"/>
            </w:pPr>
            <w:r>
              <w:rPr>
                <w:rFonts w:ascii="Calibri" w:hAnsi="Calibri"/>
                <w:b/>
                <w:i w:val="0"/>
                <w:color w:val="1F2937"/>
                <w:sz w:val="18"/>
              </w:rPr>
              <w:t>Document no</w:t>
            </w:r>
          </w:p>
        </w:tc>
        <w:tc>
          <w:tcPr>
            <w:tcW w:type="dxa" w:w="6917"/>
          </w:tcPr>
          <w:p>
            <w:pPr>
              <w:spacing w:after="40"/>
            </w:pPr>
            <w:r>
              <w:rPr>
                <w:rFonts w:ascii="Calibri" w:hAnsi="Calibri"/>
                <w:b w:val="0"/>
                <w:i w:val="0"/>
                <w:sz w:val="18"/>
              </w:rPr>
              <w:t>…</w:t>
            </w:r>
          </w:p>
        </w:tc>
      </w:tr>
    </w:tbl>
    <w:p>
      <w:pPr>
        <w:spacing w:after="160" w:before="0"/>
      </w:pPr>
    </w:p>
    <w:p>
      <w:pPr>
        <w:spacing w:before="200" w:after="100"/>
      </w:pPr>
      <w:r>
        <w:rPr>
          <w:rFonts w:ascii="Calibri" w:hAnsi="Calibri"/>
          <w:b/>
          <w:i w:val="0"/>
          <w:color w:val="1F2937"/>
          <w:sz w:val="22"/>
        </w:rPr>
        <w:t>1. Scope</w:t>
      </w:r>
    </w:p>
    <w:p>
      <w:pPr>
        <w:spacing w:after="120" w:before="0"/>
      </w:pPr>
      <w:r>
        <w:rPr>
          <w:rFonts w:ascii="Calibri" w:hAnsi="Calibri"/>
          <w:b w:val="0"/>
          <w:i w:val="0"/>
          <w:sz w:val="20"/>
        </w:rPr>
        <w:t>This technical specification sets out the technical criteria for the purchase of the office kitchen and breakroom equipment listed in the table below, with their description, technical properties, unit and quantity.</w:t>
      </w:r>
    </w:p>
    <w:p>
      <w:pPr>
        <w:spacing w:before="200" w:after="100"/>
      </w:pPr>
      <w:r>
        <w:rPr>
          <w:rFonts w:ascii="Calibri" w:hAnsi="Calibri"/>
          <w:b/>
          <w:i w:val="0"/>
          <w:color w:val="1F2937"/>
          <w:sz w:val="22"/>
        </w:rPr>
        <w:t>2. Conformity</w:t>
      </w:r>
    </w:p>
    <w:p>
      <w:pPr>
        <w:spacing w:after="120" w:before="0"/>
      </w:pPr>
      <w:r>
        <w:rPr>
          <w:rFonts w:ascii="Calibri" w:hAnsi="Calibri"/>
          <w:b w:val="0"/>
          <w:i w:val="0"/>
          <w:sz w:val="20"/>
        </w:rPr>
        <w:t>Products offered shall conform to the national and/or international standards cited in the table. Where the destination market requires a conformity marking (for example CE marking in the European Union and in Türkiye), that marking and the corresponding declaration of conformity shall be provided. Products subject to national registration — biocidal products and certain chemicals are the usual cases — shall carry the registration required in the country of use; the buyer states which country that is.</w:t>
      </w:r>
    </w:p>
    <w:p>
      <w:pPr>
        <w:spacing w:before="200" w:after="100"/>
      </w:pPr>
      <w:r>
        <w:rPr>
          <w:rFonts w:ascii="Calibri" w:hAnsi="Calibri"/>
          <w:b/>
          <w:i w:val="0"/>
          <w:color w:val="1F2937"/>
          <w:sz w:val="22"/>
        </w:rPr>
        <w:t>3. Brands and models</w:t>
      </w:r>
    </w:p>
    <w:p>
      <w:pPr>
        <w:spacing w:after="120" w:before="0"/>
      </w:pPr>
      <w:r>
        <w:rPr>
          <w:rFonts w:ascii="Calibri" w:hAnsi="Calibri"/>
          <w:b w:val="0"/>
          <w:i w:val="0"/>
          <w:sz w:val="20"/>
        </w:rPr>
        <w:t>Technical properties are defined by measurable criteria and do not direct the tender towards any particular brand or model. No brand, model, patent, origin or source is named for any line in the table. Naming a brand locks a quotation to a single source and ends the comparison; in public procurement it is restricted or prohibited in many jurisdictions, Türkiye among them. Where a technical property genuinely cannot be expressed in measurable terms, a reference model may be named only together with the words “or equivalent”, and the criteria by which equivalence will be judged shall be written out. “Or equivalent” on its own defines nothing.</w:t>
      </w:r>
    </w:p>
    <w:p>
      <w:pPr>
        <w:spacing w:before="200" w:after="100"/>
      </w:pPr>
      <w:r>
        <w:rPr>
          <w:rFonts w:ascii="Calibri" w:hAnsi="Calibri"/>
          <w:b/>
          <w:i w:val="0"/>
          <w:color w:val="1F2937"/>
          <w:sz w:val="22"/>
        </w:rPr>
        <w:t>4. Packaging and labelling</w:t>
      </w:r>
    </w:p>
    <w:p>
      <w:pPr>
        <w:spacing w:after="120" w:before="0"/>
      </w:pPr>
      <w:r>
        <w:rPr>
          <w:rFonts w:ascii="Calibri" w:hAnsi="Calibri"/>
          <w:b w:val="0"/>
          <w:i w:val="0"/>
          <w:sz w:val="20"/>
        </w:rPr>
        <w:t>Products shall be delivered in their original packaging, unopened and undamaged. The packaging shall legibly show the product name, the manufacturer or importer, the batch or serial number, the date of manufacture and, where applicable, the expiry date. Where instructions for use are required, they shall be supplied in the language the buyer specifies.</w:t>
      </w:r>
    </w:p>
    <w:p>
      <w:pPr>
        <w:spacing w:before="200" w:after="100"/>
      </w:pPr>
      <w:r>
        <w:rPr>
          <w:rFonts w:ascii="Calibri" w:hAnsi="Calibri"/>
          <w:b/>
          <w:i w:val="0"/>
          <w:color w:val="1F2937"/>
          <w:sz w:val="22"/>
        </w:rPr>
        <w:t>5. Shelf life</w:t>
      </w:r>
    </w:p>
    <w:p>
      <w:pPr>
        <w:spacing w:after="120" w:before="0"/>
      </w:pPr>
      <w:r>
        <w:rPr>
          <w:rFonts w:ascii="Calibri" w:hAnsi="Calibri"/>
          <w:b w:val="0"/>
          <w:i w:val="0"/>
          <w:sz w:val="20"/>
        </w:rPr>
        <w:t>For products carrying an expiry date, at least 75% of the total shelf life shall remain at the date of delivery. Products not meeting this condition will not be accepted. The buyer may set a different percentage; the figure is what makes the clause enforceable.</w:t>
      </w:r>
    </w:p>
    <w:p>
      <w:pPr>
        <w:spacing w:before="200" w:after="100"/>
      </w:pPr>
      <w:r>
        <w:rPr>
          <w:rFonts w:ascii="Calibri" w:hAnsi="Calibri"/>
          <w:b/>
          <w:i w:val="0"/>
          <w:color w:val="1F2937"/>
          <w:sz w:val="22"/>
        </w:rPr>
        <w:t>6. Safety data sheet</w:t>
      </w:r>
    </w:p>
    <w:p>
      <w:pPr>
        <w:spacing w:after="120" w:before="0"/>
      </w:pPr>
      <w:r>
        <w:rPr>
          <w:rFonts w:ascii="Calibri" w:hAnsi="Calibri"/>
          <w:b w:val="0"/>
          <w:i w:val="0"/>
          <w:sz w:val="20"/>
        </w:rPr>
        <w:t>For chemical products, a current safety data sheet shall be supplied with the delivery, in the language and format required in the country of use.</w:t>
      </w:r>
    </w:p>
    <w:p>
      <w:pPr>
        <w:spacing w:before="200" w:after="100"/>
      </w:pPr>
      <w:r>
        <w:rPr>
          <w:rFonts w:ascii="Calibri" w:hAnsi="Calibri"/>
          <w:b/>
          <w:i w:val="0"/>
          <w:color w:val="1F2937"/>
          <w:sz w:val="22"/>
        </w:rPr>
        <w:t>7. Samples</w:t>
      </w:r>
    </w:p>
    <w:p>
      <w:pPr>
        <w:spacing w:after="120" w:before="0"/>
      </w:pPr>
      <w:r>
        <w:rPr>
          <w:rFonts w:ascii="Calibri" w:hAnsi="Calibri"/>
          <w:b w:val="0"/>
          <w:i w:val="0"/>
          <w:sz w:val="20"/>
        </w:rPr>
        <w:t>The buyer may request free samples of any line during evaluation. Samples shall be delivered with the quotation or within the period the buyer sets. A line for which a sample was requested and not supplied may be excluded from evaluation.</w:t>
      </w:r>
    </w:p>
    <w:p>
      <w:pPr>
        <w:spacing w:before="200" w:after="100"/>
      </w:pPr>
      <w:r>
        <w:rPr>
          <w:rFonts w:ascii="Calibri" w:hAnsi="Calibri"/>
          <w:b/>
          <w:i w:val="0"/>
          <w:color w:val="1F2937"/>
          <w:sz w:val="22"/>
        </w:rPr>
        <w:t>8. Place and time of delivery</w:t>
      </w:r>
    </w:p>
    <w:p>
      <w:pPr>
        <w:spacing w:after="120" w:before="0"/>
      </w:pPr>
      <w:r>
        <w:rPr>
          <w:rFonts w:ascii="Calibri" w:hAnsi="Calibri"/>
          <w:b w:val="0"/>
          <w:i w:val="0"/>
          <w:sz w:val="20"/>
        </w:rPr>
        <w:t>Delivery shall be made to the address or addresses notified by the buyer. Carriage and unloading are the supplier's responsibility unless the agreed delivery term states otherwise. For cross-border orders the delivery term shall be stated as an Incoterms 2020 rule (for example EXW, FCA, CPT or DAP); the rule decides who arranges and pays for carriage and where the supplier's responsibility ends. The delivery period is at most … calendar days from order confirmation. Where there is more than one delivery point, the quantity for each point shall be stated separately.</w:t>
      </w:r>
    </w:p>
    <w:p>
      <w:pPr>
        <w:spacing w:before="200" w:after="100"/>
      </w:pPr>
      <w:r>
        <w:rPr>
          <w:rFonts w:ascii="Calibri" w:hAnsi="Calibri"/>
          <w:b/>
          <w:i w:val="0"/>
          <w:color w:val="1F2937"/>
          <w:sz w:val="22"/>
        </w:rPr>
        <w:t>9. Partial delivery</w:t>
      </w:r>
    </w:p>
    <w:p>
      <w:pPr>
        <w:spacing w:after="120" w:before="0"/>
      </w:pPr>
      <w:r>
        <w:rPr>
          <w:rFonts w:ascii="Calibri" w:hAnsi="Calibri"/>
          <w:b w:val="0"/>
          <w:i w:val="0"/>
          <w:sz w:val="20"/>
        </w:rPr>
        <w:t>No partial delivery shall be made without the buyer's approval. Where partial delivery is approved, a separate delivery note shall be issued for each consignment.</w:t>
      </w:r>
    </w:p>
    <w:p>
      <w:pPr>
        <w:spacing w:before="200" w:after="100"/>
      </w:pPr>
      <w:r>
        <w:rPr>
          <w:rFonts w:ascii="Calibri" w:hAnsi="Calibri"/>
          <w:b/>
          <w:i w:val="0"/>
          <w:color w:val="1F2937"/>
          <w:sz w:val="22"/>
        </w:rPr>
        <w:t>10. Inspection and acceptance</w:t>
      </w:r>
    </w:p>
    <w:p>
      <w:pPr>
        <w:spacing w:after="120" w:before="0"/>
      </w:pPr>
      <w:r>
        <w:rPr>
          <w:rFonts w:ascii="Calibri" w:hAnsi="Calibri"/>
          <w:b w:val="0"/>
          <w:i w:val="0"/>
          <w:sz w:val="20"/>
        </w:rPr>
        <w:t>Delivered products shall be examined against the criteria in this specification. Lines found not to conform shall be recorded and replaced by the supplier, at the supplier's cost, within at most … calendar days. The inspection criteria are the same figures written in the item table — nothing is checked that was not specified.</w:t>
      </w:r>
    </w:p>
    <w:p>
      <w:pPr>
        <w:spacing w:before="200" w:after="100"/>
      </w:pPr>
      <w:r>
        <w:rPr>
          <w:rFonts w:ascii="Calibri" w:hAnsi="Calibri"/>
          <w:b/>
          <w:i w:val="0"/>
          <w:color w:val="1F2937"/>
          <w:sz w:val="22"/>
        </w:rPr>
        <w:t>11. Warranty</w:t>
      </w:r>
    </w:p>
    <w:p>
      <w:pPr>
        <w:spacing w:after="120" w:before="0"/>
      </w:pPr>
      <w:r>
        <w:rPr>
          <w:rFonts w:ascii="Calibri" w:hAnsi="Calibri"/>
          <w:b w:val="0"/>
          <w:i w:val="0"/>
          <w:sz w:val="20"/>
        </w:rPr>
        <w:t>Items in the nature of equipment, tools and appliances shall be warranted against manufacturing defects for at least 2 (two) years from the date of delivery. For warranted faults the replacement or repair period shall be at most … working days. Statutory warranty and conformity periods in the country of use apply in addition and are not reduced by this clause.</w:t>
      </w:r>
    </w:p>
    <w:p>
      <w:pPr>
        <w:spacing w:before="200" w:after="100"/>
      </w:pPr>
      <w:r>
        <w:rPr>
          <w:rFonts w:ascii="Calibri" w:hAnsi="Calibri"/>
          <w:b/>
          <w:i w:val="0"/>
          <w:color w:val="1F2937"/>
          <w:sz w:val="22"/>
        </w:rPr>
        <w:t>12. Liability</w:t>
      </w:r>
    </w:p>
    <w:p>
      <w:pPr>
        <w:spacing w:after="120" w:before="0"/>
      </w:pPr>
      <w:r>
        <w:rPr>
          <w:rFonts w:ascii="Calibri" w:hAnsi="Calibri"/>
          <w:b w:val="0"/>
          <w:i w:val="0"/>
          <w:sz w:val="20"/>
        </w:rPr>
        <w:t>The supplier is responsible for damage, loss and delay arising in transport up to the point defined by the agreed delivery term. Losses arising from incorrect, incomplete or non-conforming delivery are for the supplier's account.</w:t>
      </w:r>
    </w:p>
    <w:p>
      <w:pPr>
        <w:spacing w:before="200" w:after="100"/>
      </w:pPr>
      <w:r>
        <w:rPr>
          <w:rFonts w:ascii="Calibri" w:hAnsi="Calibri"/>
          <w:b/>
          <w:i w:val="0"/>
          <w:color w:val="1F2937"/>
          <w:sz w:val="22"/>
        </w:rPr>
        <w:t>13. Price and invoicing</w:t>
      </w:r>
    </w:p>
    <w:p>
      <w:pPr>
        <w:spacing w:after="120" w:before="0"/>
      </w:pPr>
      <w:r>
        <w:rPr>
          <w:rFonts w:ascii="Calibri" w:hAnsi="Calibri"/>
          <w:b w:val="0"/>
          <w:i w:val="0"/>
          <w:sz w:val="20"/>
        </w:rPr>
        <w:t>Unit prices shall be quoted exclusive of VAT or sales tax; the applicable rate shall be shown on a separate line. The currency shall be stated on the quotation. The quotation shall remain valid for at least … days; where costs are denominated in a foreign currency, the basis of any exchange-rate adjustment shall be written out. Invoicing shall follow delivery as a single invoice unless agreed otherwise.</w:t>
      </w:r>
    </w:p>
    <w:p>
      <w:pPr>
        <w:spacing w:before="280" w:after="100"/>
      </w:pPr>
      <w:r>
        <w:rPr>
          <w:rFonts w:ascii="Calibri" w:hAnsi="Calibri"/>
          <w:b/>
          <w:i w:val="0"/>
          <w:color w:val="1F2937"/>
          <w:sz w:val="26"/>
        </w:rPr>
        <w:t>14. Item list and technical properties</w:t>
      </w:r>
    </w:p>
    <w:p>
      <w:pPr>
        <w:spacing w:after="160" w:before="0"/>
      </w:pPr>
      <w:r>
        <w:rPr>
          <w:rFonts w:ascii="Calibri" w:hAnsi="Calibri"/>
          <w:b w:val="0"/>
          <w:i w:val="0"/>
          <w:color w:val="5F7891"/>
          <w:sz w:val="18"/>
        </w:rPr>
        <w:t>The table below contains 26 items. Delete the rows your organisation does not need, add the rows it does, and complete the “Quantity” column.</w:t>
      </w:r>
    </w:p>
    <w:tbl>
      <w:tblPr>
        <w:tblStyle w:val="TableGrid"/>
        <w:tblW w:type="auto" w:w="0"/>
        <w:jc w:val="center"/>
        <w:tblLook w:firstColumn="1" w:firstRow="1" w:lastColumn="0" w:lastRow="0" w:noHBand="0" w:noVBand="1" w:val="04A0"/>
      </w:tblPr>
      <w:tblGrid>
        <w:gridCol w:w="2017"/>
        <w:gridCol w:w="2017"/>
        <w:gridCol w:w="2017"/>
        <w:gridCol w:w="2017"/>
        <w:gridCol w:w="2017"/>
      </w:tblGrid>
      <w:tr>
        <w:tc>
          <w:tcPr>
            <w:tcW w:type="dxa" w:w="624"/>
            <w:shd w:val="clear" w:fill="1F2937"/>
          </w:tcPr>
          <w:p>
            <w:pPr>
              <w:spacing w:after="40" w:before="40"/>
              <w:jc w:val="center"/>
            </w:pPr>
            <w:r>
              <w:rPr>
                <w:rFonts w:ascii="Calibri" w:hAnsi="Calibri"/>
                <w:b/>
                <w:i w:val="0"/>
                <w:color w:val="FFFFFF"/>
                <w:sz w:val="18"/>
              </w:rPr>
              <w:t>No</w:t>
            </w:r>
          </w:p>
        </w:tc>
        <w:tc>
          <w:tcPr>
            <w:tcW w:type="dxa" w:w="2551"/>
            <w:shd w:val="clear" w:fill="1F2937"/>
          </w:tcPr>
          <w:p>
            <w:pPr>
              <w:spacing w:after="40" w:before="40"/>
              <w:jc w:val="center"/>
            </w:pPr>
            <w:r>
              <w:rPr>
                <w:rFonts w:ascii="Calibri" w:hAnsi="Calibri"/>
                <w:b/>
                <w:i w:val="0"/>
                <w:color w:val="FFFFFF"/>
                <w:sz w:val="18"/>
              </w:rPr>
              <w:t>Item</w:t>
            </w:r>
          </w:p>
        </w:tc>
        <w:tc>
          <w:tcPr>
            <w:tcW w:type="dxa" w:w="4762"/>
            <w:shd w:val="clear" w:fill="1F2937"/>
          </w:tcPr>
          <w:p>
            <w:pPr>
              <w:spacing w:after="40" w:before="40"/>
              <w:jc w:val="center"/>
            </w:pPr>
            <w:r>
              <w:rPr>
                <w:rFonts w:ascii="Calibri" w:hAnsi="Calibri"/>
                <w:b/>
                <w:i w:val="0"/>
                <w:color w:val="FFFFFF"/>
                <w:sz w:val="18"/>
              </w:rPr>
              <w:t>Technical properties</w:t>
            </w:r>
          </w:p>
        </w:tc>
        <w:tc>
          <w:tcPr>
            <w:tcW w:type="dxa" w:w="907"/>
            <w:shd w:val="clear" w:fill="1F2937"/>
          </w:tcPr>
          <w:p>
            <w:pPr>
              <w:spacing w:after="40" w:before="40"/>
              <w:jc w:val="center"/>
            </w:pPr>
            <w:r>
              <w:rPr>
                <w:rFonts w:ascii="Calibri" w:hAnsi="Calibri"/>
                <w:b/>
                <w:i w:val="0"/>
                <w:color w:val="FFFFFF"/>
                <w:sz w:val="18"/>
              </w:rPr>
              <w:t>Unit</w:t>
            </w:r>
          </w:p>
        </w:tc>
        <w:tc>
          <w:tcPr>
            <w:tcW w:type="dxa" w:w="907"/>
            <w:shd w:val="clear" w:fill="1F2937"/>
          </w:tcPr>
          <w:p>
            <w:pPr>
              <w:spacing w:after="40" w:before="40"/>
              <w:jc w:val="center"/>
            </w:pPr>
            <w:r>
              <w:rPr>
                <w:rFonts w:ascii="Calibri" w:hAnsi="Calibri"/>
                <w:b/>
                <w:i w:val="0"/>
                <w:color w:val="FFFFFF"/>
                <w:sz w:val="18"/>
              </w:rPr>
              <w:t>Quantity</w:t>
            </w:r>
          </w:p>
        </w:tc>
      </w:tr>
      <w:tr>
        <w:tc>
          <w:tcPr>
            <w:tcW w:type="dxa" w:w="624"/>
          </w:tcPr>
          <w:p>
            <w:pPr>
              <w:spacing w:after="40" w:before="40"/>
              <w:jc w:val="center"/>
            </w:pPr>
            <w:r>
              <w:rPr>
                <w:rFonts w:ascii="Calibri" w:hAnsi="Calibri"/>
                <w:b w:val="0"/>
                <w:i w:val="0"/>
                <w:sz w:val="17"/>
              </w:rPr>
              <w:t>1</w:t>
            </w:r>
          </w:p>
        </w:tc>
        <w:tc>
          <w:tcPr>
            <w:tcW w:type="dxa" w:w="2551"/>
          </w:tcPr>
          <w:p>
            <w:pPr>
              <w:spacing w:after="40" w:before="40"/>
            </w:pPr>
            <w:r>
              <w:rPr>
                <w:rFonts w:ascii="Calibri" w:hAnsi="Calibri"/>
                <w:b/>
                <w:i w:val="0"/>
                <w:sz w:val="17"/>
              </w:rPr>
              <w:t>Tea urn, electric</w:t>
            </w:r>
          </w:p>
        </w:tc>
        <w:tc>
          <w:tcPr>
            <w:tcW w:type="dxa" w:w="4762"/>
          </w:tcPr>
          <w:p>
            <w:pPr>
              <w:spacing w:after="40" w:before="40"/>
            </w:pPr>
            <w:r>
              <w:rPr>
                <w:rFonts w:ascii="Calibri" w:hAnsi="Calibri"/>
                <w:b w:val="0"/>
                <w:i w:val="0"/>
                <w:sz w:val="17"/>
              </w:rPr>
              <w:t>Water and pot capacity, thermostat, dry-boil protection</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w:t>
            </w:r>
          </w:p>
        </w:tc>
        <w:tc>
          <w:tcPr>
            <w:tcW w:type="dxa" w:w="2551"/>
            <w:shd w:val="clear" w:fill="F4F8FC"/>
          </w:tcPr>
          <w:p>
            <w:pPr>
              <w:spacing w:after="40" w:before="40"/>
            </w:pPr>
            <w:r>
              <w:rPr>
                <w:rFonts w:ascii="Calibri" w:hAnsi="Calibri"/>
                <w:b/>
                <w:i w:val="0"/>
                <w:sz w:val="17"/>
              </w:rPr>
              <w:t>Tea boiler, hob type</w:t>
            </w:r>
          </w:p>
        </w:tc>
        <w:tc>
          <w:tcPr>
            <w:tcW w:type="dxa" w:w="4762"/>
            <w:shd w:val="clear" w:fill="F4F8FC"/>
          </w:tcPr>
          <w:p>
            <w:pPr>
              <w:spacing w:after="40" w:before="40"/>
            </w:pPr>
            <w:r>
              <w:rPr>
                <w:rFonts w:ascii="Calibri" w:hAnsi="Calibri"/>
                <w:b w:val="0"/>
                <w:i w:val="0"/>
                <w:sz w:val="17"/>
              </w:rPr>
              <w:t>Capacity in litres, gas or electric, tap fitted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3</w:t>
            </w:r>
          </w:p>
        </w:tc>
        <w:tc>
          <w:tcPr>
            <w:tcW w:type="dxa" w:w="2551"/>
          </w:tcPr>
          <w:p>
            <w:pPr>
              <w:spacing w:after="40" w:before="40"/>
            </w:pPr>
            <w:r>
              <w:rPr>
                <w:rFonts w:ascii="Calibri" w:hAnsi="Calibri"/>
                <w:b/>
                <w:i w:val="0"/>
                <w:sz w:val="17"/>
              </w:rPr>
              <w:t>Filter coffee machine</w:t>
            </w:r>
          </w:p>
        </w:tc>
        <w:tc>
          <w:tcPr>
            <w:tcW w:type="dxa" w:w="4762"/>
          </w:tcPr>
          <w:p>
            <w:pPr>
              <w:spacing w:after="40" w:before="40"/>
            </w:pPr>
            <w:r>
              <w:rPr>
                <w:rFonts w:ascii="Calibri" w:hAnsi="Calibri"/>
                <w:b w:val="0"/>
                <w:i w:val="0"/>
                <w:sz w:val="17"/>
              </w:rPr>
              <w:t>Jug volume, hourly output and warming plate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4</w:t>
            </w:r>
          </w:p>
        </w:tc>
        <w:tc>
          <w:tcPr>
            <w:tcW w:type="dxa" w:w="2551"/>
            <w:shd w:val="clear" w:fill="F4F8FC"/>
          </w:tcPr>
          <w:p>
            <w:pPr>
              <w:spacing w:after="40" w:before="40"/>
            </w:pPr>
            <w:r>
              <w:rPr>
                <w:rFonts w:ascii="Calibri" w:hAnsi="Calibri"/>
                <w:b/>
                <w:i w:val="0"/>
                <w:sz w:val="17"/>
              </w:rPr>
              <w:t>Bean to cup coffee machine</w:t>
            </w:r>
          </w:p>
        </w:tc>
        <w:tc>
          <w:tcPr>
            <w:tcW w:type="dxa" w:w="4762"/>
            <w:shd w:val="clear" w:fill="F4F8FC"/>
          </w:tcPr>
          <w:p>
            <w:pPr>
              <w:spacing w:after="40" w:before="40"/>
            </w:pPr>
            <w:r>
              <w:rPr>
                <w:rFonts w:ascii="Calibri" w:hAnsi="Calibri"/>
                <w:b w:val="0"/>
                <w:i w:val="0"/>
                <w:sz w:val="17"/>
              </w:rPr>
              <w:t>Daily cup capacity, water supply and milk system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5</w:t>
            </w:r>
          </w:p>
        </w:tc>
        <w:tc>
          <w:tcPr>
            <w:tcW w:type="dxa" w:w="2551"/>
          </w:tcPr>
          <w:p>
            <w:pPr>
              <w:spacing w:after="40" w:before="40"/>
            </w:pPr>
            <w:r>
              <w:rPr>
                <w:rFonts w:ascii="Calibri" w:hAnsi="Calibri"/>
                <w:b/>
                <w:i w:val="0"/>
                <w:sz w:val="17"/>
              </w:rPr>
              <w:t>Capsule coffee machine</w:t>
            </w:r>
          </w:p>
        </w:tc>
        <w:tc>
          <w:tcPr>
            <w:tcW w:type="dxa" w:w="4762"/>
          </w:tcPr>
          <w:p>
            <w:pPr>
              <w:spacing w:after="40" w:before="40"/>
            </w:pPr>
            <w:r>
              <w:rPr>
                <w:rFonts w:ascii="Calibri" w:hAnsi="Calibri"/>
                <w:b w:val="0"/>
                <w:i w:val="0"/>
                <w:sz w:val="17"/>
              </w:rPr>
              <w:t>Capsule system, tank volume and milk frother option</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6</w:t>
            </w:r>
          </w:p>
        </w:tc>
        <w:tc>
          <w:tcPr>
            <w:tcW w:type="dxa" w:w="2551"/>
            <w:shd w:val="clear" w:fill="F4F8FC"/>
          </w:tcPr>
          <w:p>
            <w:pPr>
              <w:spacing w:after="40" w:before="40"/>
            </w:pPr>
            <w:r>
              <w:rPr>
                <w:rFonts w:ascii="Calibri" w:hAnsi="Calibri"/>
                <w:b/>
                <w:i w:val="0"/>
                <w:sz w:val="17"/>
              </w:rPr>
              <w:t>Water dispenser, bottled</w:t>
            </w:r>
          </w:p>
        </w:tc>
        <w:tc>
          <w:tcPr>
            <w:tcW w:type="dxa" w:w="4762"/>
            <w:shd w:val="clear" w:fill="F4F8FC"/>
          </w:tcPr>
          <w:p>
            <w:pPr>
              <w:spacing w:after="40" w:before="40"/>
            </w:pPr>
            <w:r>
              <w:rPr>
                <w:rFonts w:ascii="Calibri" w:hAnsi="Calibri"/>
                <w:b w:val="0"/>
                <w:i w:val="0"/>
                <w:sz w:val="17"/>
              </w:rPr>
              <w:t>Hot, cold and ambient; hourly cooling capacity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7</w:t>
            </w:r>
          </w:p>
        </w:tc>
        <w:tc>
          <w:tcPr>
            <w:tcW w:type="dxa" w:w="2551"/>
          </w:tcPr>
          <w:p>
            <w:pPr>
              <w:spacing w:after="40" w:before="40"/>
            </w:pPr>
            <w:r>
              <w:rPr>
                <w:rFonts w:ascii="Calibri" w:hAnsi="Calibri"/>
                <w:b/>
                <w:i w:val="0"/>
                <w:sz w:val="17"/>
              </w:rPr>
              <w:t>Water purifier, mains connected</w:t>
            </w:r>
          </w:p>
        </w:tc>
        <w:tc>
          <w:tcPr>
            <w:tcW w:type="dxa" w:w="4762"/>
          </w:tcPr>
          <w:p>
            <w:pPr>
              <w:spacing w:after="40" w:before="40"/>
            </w:pPr>
            <w:r>
              <w:rPr>
                <w:rFonts w:ascii="Calibri" w:hAnsi="Calibri"/>
                <w:b w:val="0"/>
                <w:i w:val="0"/>
                <w:sz w:val="17"/>
              </w:rPr>
              <w:t>Filter stages, flow rate and filter change interval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8</w:t>
            </w:r>
          </w:p>
        </w:tc>
        <w:tc>
          <w:tcPr>
            <w:tcW w:type="dxa" w:w="2551"/>
            <w:shd w:val="clear" w:fill="F4F8FC"/>
          </w:tcPr>
          <w:p>
            <w:pPr>
              <w:spacing w:after="40" w:before="40"/>
            </w:pPr>
            <w:r>
              <w:rPr>
                <w:rFonts w:ascii="Calibri" w:hAnsi="Calibri"/>
                <w:b/>
                <w:i w:val="0"/>
                <w:sz w:val="17"/>
              </w:rPr>
              <w:t>Kettle</w:t>
            </w:r>
          </w:p>
        </w:tc>
        <w:tc>
          <w:tcPr>
            <w:tcW w:type="dxa" w:w="4762"/>
            <w:shd w:val="clear" w:fill="F4F8FC"/>
          </w:tcPr>
          <w:p>
            <w:pPr>
              <w:spacing w:after="40" w:before="40"/>
            </w:pPr>
            <w:r>
              <w:rPr>
                <w:rFonts w:ascii="Calibri" w:hAnsi="Calibri"/>
                <w:b w:val="0"/>
                <w:i w:val="0"/>
                <w:sz w:val="17"/>
              </w:rPr>
              <w:t>Capacity, power in W and boil-dry protection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9</w:t>
            </w:r>
          </w:p>
        </w:tc>
        <w:tc>
          <w:tcPr>
            <w:tcW w:type="dxa" w:w="2551"/>
          </w:tcPr>
          <w:p>
            <w:pPr>
              <w:spacing w:after="40" w:before="40"/>
            </w:pPr>
            <w:r>
              <w:rPr>
                <w:rFonts w:ascii="Calibri" w:hAnsi="Calibri"/>
                <w:b/>
                <w:i w:val="0"/>
                <w:sz w:val="17"/>
              </w:rPr>
              <w:t>Refrigerator, office</w:t>
            </w:r>
          </w:p>
        </w:tc>
        <w:tc>
          <w:tcPr>
            <w:tcW w:type="dxa" w:w="4762"/>
          </w:tcPr>
          <w:p>
            <w:pPr>
              <w:spacing w:after="40" w:before="40"/>
            </w:pPr>
            <w:r>
              <w:rPr>
                <w:rFonts w:ascii="Calibri" w:hAnsi="Calibri"/>
                <w:b w:val="0"/>
                <w:i w:val="0"/>
                <w:sz w:val="17"/>
              </w:rPr>
              <w:t>Net volume, dimensions and energy class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10</w:t>
            </w:r>
          </w:p>
        </w:tc>
        <w:tc>
          <w:tcPr>
            <w:tcW w:type="dxa" w:w="2551"/>
            <w:shd w:val="clear" w:fill="F4F8FC"/>
          </w:tcPr>
          <w:p>
            <w:pPr>
              <w:spacing w:after="40" w:before="40"/>
            </w:pPr>
            <w:r>
              <w:rPr>
                <w:rFonts w:ascii="Calibri" w:hAnsi="Calibri"/>
                <w:b/>
                <w:i w:val="0"/>
                <w:sz w:val="17"/>
              </w:rPr>
              <w:t>Microwave oven</w:t>
            </w:r>
          </w:p>
        </w:tc>
        <w:tc>
          <w:tcPr>
            <w:tcW w:type="dxa" w:w="4762"/>
            <w:shd w:val="clear" w:fill="F4F8FC"/>
          </w:tcPr>
          <w:p>
            <w:pPr>
              <w:spacing w:after="40" w:before="40"/>
            </w:pPr>
            <w:r>
              <w:rPr>
                <w:rFonts w:ascii="Calibri" w:hAnsi="Calibri"/>
                <w:b w:val="0"/>
                <w:i w:val="0"/>
                <w:sz w:val="17"/>
              </w:rPr>
              <w:t>Cavity volume, power in W and grill option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11</w:t>
            </w:r>
          </w:p>
        </w:tc>
        <w:tc>
          <w:tcPr>
            <w:tcW w:type="dxa" w:w="2551"/>
          </w:tcPr>
          <w:p>
            <w:pPr>
              <w:spacing w:after="40" w:before="40"/>
            </w:pPr>
            <w:r>
              <w:rPr>
                <w:rFonts w:ascii="Calibri" w:hAnsi="Calibri"/>
                <w:b/>
                <w:i w:val="0"/>
                <w:sz w:val="17"/>
              </w:rPr>
              <w:t>Dishwasher, domestic type</w:t>
            </w:r>
          </w:p>
        </w:tc>
        <w:tc>
          <w:tcPr>
            <w:tcW w:type="dxa" w:w="4762"/>
          </w:tcPr>
          <w:p>
            <w:pPr>
              <w:spacing w:after="40" w:before="40"/>
            </w:pPr>
            <w:r>
              <w:rPr>
                <w:rFonts w:ascii="Calibri" w:hAnsi="Calibri"/>
                <w:b w:val="0"/>
                <w:i w:val="0"/>
                <w:sz w:val="17"/>
              </w:rPr>
              <w:t>Place settings, dimensions and energy class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12</w:t>
            </w:r>
          </w:p>
        </w:tc>
        <w:tc>
          <w:tcPr>
            <w:tcW w:type="dxa" w:w="2551"/>
            <w:shd w:val="clear" w:fill="F4F8FC"/>
          </w:tcPr>
          <w:p>
            <w:pPr>
              <w:spacing w:after="40" w:before="40"/>
            </w:pPr>
            <w:r>
              <w:rPr>
                <w:rFonts w:ascii="Calibri" w:hAnsi="Calibri"/>
                <w:b/>
                <w:i w:val="0"/>
                <w:sz w:val="17"/>
              </w:rPr>
              <w:t>Dishwasher, commercial</w:t>
            </w:r>
          </w:p>
        </w:tc>
        <w:tc>
          <w:tcPr>
            <w:tcW w:type="dxa" w:w="4762"/>
            <w:shd w:val="clear" w:fill="F4F8FC"/>
          </w:tcPr>
          <w:p>
            <w:pPr>
              <w:spacing w:after="40" w:before="40"/>
            </w:pPr>
            <w:r>
              <w:rPr>
                <w:rFonts w:ascii="Calibri" w:hAnsi="Calibri"/>
                <w:b w:val="0"/>
                <w:i w:val="0"/>
                <w:sz w:val="17"/>
              </w:rPr>
              <w:t>Basket size, cycle time, supply voltage and water softener</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13</w:t>
            </w:r>
          </w:p>
        </w:tc>
        <w:tc>
          <w:tcPr>
            <w:tcW w:type="dxa" w:w="2551"/>
          </w:tcPr>
          <w:p>
            <w:pPr>
              <w:spacing w:after="40" w:before="40"/>
            </w:pPr>
            <w:r>
              <w:rPr>
                <w:rFonts w:ascii="Calibri" w:hAnsi="Calibri"/>
                <w:b/>
                <w:i w:val="0"/>
                <w:sz w:val="17"/>
              </w:rPr>
              <w:t>Sandwich toaster and grill</w:t>
            </w:r>
          </w:p>
        </w:tc>
        <w:tc>
          <w:tcPr>
            <w:tcW w:type="dxa" w:w="4762"/>
          </w:tcPr>
          <w:p>
            <w:pPr>
              <w:spacing w:after="40" w:before="40"/>
            </w:pPr>
            <w:r>
              <w:rPr>
                <w:rFonts w:ascii="Calibri" w:hAnsi="Calibri"/>
                <w:b w:val="0"/>
                <w:i w:val="0"/>
                <w:sz w:val="17"/>
              </w:rPr>
              <w:t>Plate size, power in W and plate material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14</w:t>
            </w:r>
          </w:p>
        </w:tc>
        <w:tc>
          <w:tcPr>
            <w:tcW w:type="dxa" w:w="2551"/>
            <w:shd w:val="clear" w:fill="F4F8FC"/>
          </w:tcPr>
          <w:p>
            <w:pPr>
              <w:spacing w:after="40" w:before="40"/>
            </w:pPr>
            <w:r>
              <w:rPr>
                <w:rFonts w:ascii="Calibri" w:hAnsi="Calibri"/>
                <w:b/>
                <w:i w:val="0"/>
                <w:sz w:val="17"/>
              </w:rPr>
              <w:t>Juicer or blender</w:t>
            </w:r>
          </w:p>
        </w:tc>
        <w:tc>
          <w:tcPr>
            <w:tcW w:type="dxa" w:w="4762"/>
            <w:shd w:val="clear" w:fill="F4F8FC"/>
          </w:tcPr>
          <w:p>
            <w:pPr>
              <w:spacing w:after="40" w:before="40"/>
            </w:pPr>
            <w:r>
              <w:rPr>
                <w:rFonts w:ascii="Calibri" w:hAnsi="Calibri"/>
                <w:b w:val="0"/>
                <w:i w:val="0"/>
                <w:sz w:val="17"/>
              </w:rPr>
              <w:t>Jug volume, power in W and blade material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15</w:t>
            </w:r>
          </w:p>
        </w:tc>
        <w:tc>
          <w:tcPr>
            <w:tcW w:type="dxa" w:w="2551"/>
          </w:tcPr>
          <w:p>
            <w:pPr>
              <w:spacing w:after="40" w:before="40"/>
            </w:pPr>
            <w:r>
              <w:rPr>
                <w:rFonts w:ascii="Calibri" w:hAnsi="Calibri"/>
                <w:b/>
                <w:i w:val="0"/>
                <w:sz w:val="17"/>
              </w:rPr>
              <w:t>Tea glass and saucer</w:t>
            </w:r>
          </w:p>
        </w:tc>
        <w:tc>
          <w:tcPr>
            <w:tcW w:type="dxa" w:w="4762"/>
          </w:tcPr>
          <w:p>
            <w:pPr>
              <w:spacing w:after="40" w:before="40"/>
            </w:pPr>
            <w:r>
              <w:rPr>
                <w:rFonts w:ascii="Calibri" w:hAnsi="Calibri"/>
                <w:b w:val="0"/>
                <w:i w:val="0"/>
                <w:sz w:val="17"/>
              </w:rPr>
              <w:t>Volume, material and units per case stated</w:t>
            </w:r>
          </w:p>
        </w:tc>
        <w:tc>
          <w:tcPr>
            <w:tcW w:type="dxa" w:w="907"/>
          </w:tcPr>
          <w:p>
            <w:pPr>
              <w:spacing w:after="40" w:before="40"/>
              <w:jc w:val="center"/>
            </w:pPr>
            <w:r>
              <w:rPr>
                <w:rFonts w:ascii="Calibri" w:hAnsi="Calibri"/>
                <w:b w:val="0"/>
                <w:i w:val="0"/>
                <w:sz w:val="17"/>
              </w:rPr>
              <w:t>Case</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16</w:t>
            </w:r>
          </w:p>
        </w:tc>
        <w:tc>
          <w:tcPr>
            <w:tcW w:type="dxa" w:w="2551"/>
            <w:shd w:val="clear" w:fill="F4F8FC"/>
          </w:tcPr>
          <w:p>
            <w:pPr>
              <w:spacing w:after="40" w:before="40"/>
            </w:pPr>
            <w:r>
              <w:rPr>
                <w:rFonts w:ascii="Calibri" w:hAnsi="Calibri"/>
                <w:b/>
                <w:i w:val="0"/>
                <w:sz w:val="17"/>
              </w:rPr>
              <w:t>Coffee cup and saucer</w:t>
            </w:r>
          </w:p>
        </w:tc>
        <w:tc>
          <w:tcPr>
            <w:tcW w:type="dxa" w:w="4762"/>
            <w:shd w:val="clear" w:fill="F4F8FC"/>
          </w:tcPr>
          <w:p>
            <w:pPr>
              <w:spacing w:after="40" w:before="40"/>
            </w:pPr>
            <w:r>
              <w:rPr>
                <w:rFonts w:ascii="Calibri" w:hAnsi="Calibri"/>
                <w:b w:val="0"/>
                <w:i w:val="0"/>
                <w:sz w:val="17"/>
              </w:rPr>
              <w:t>Volume, material and units per case stated</w:t>
            </w:r>
          </w:p>
        </w:tc>
        <w:tc>
          <w:tcPr>
            <w:tcW w:type="dxa" w:w="907"/>
            <w:shd w:val="clear" w:fill="F4F8FC"/>
          </w:tcPr>
          <w:p>
            <w:pPr>
              <w:spacing w:after="40" w:before="40"/>
              <w:jc w:val="center"/>
            </w:pPr>
            <w:r>
              <w:rPr>
                <w:rFonts w:ascii="Calibri" w:hAnsi="Calibri"/>
                <w:b w:val="0"/>
                <w:i w:val="0"/>
                <w:sz w:val="17"/>
              </w:rPr>
              <w:t>Case</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17</w:t>
            </w:r>
          </w:p>
        </w:tc>
        <w:tc>
          <w:tcPr>
            <w:tcW w:type="dxa" w:w="2551"/>
          </w:tcPr>
          <w:p>
            <w:pPr>
              <w:spacing w:after="40" w:before="40"/>
            </w:pPr>
            <w:r>
              <w:rPr>
                <w:rFonts w:ascii="Calibri" w:hAnsi="Calibri"/>
                <w:b/>
                <w:i w:val="0"/>
                <w:sz w:val="17"/>
              </w:rPr>
              <w:t>Water glass</w:t>
            </w:r>
          </w:p>
        </w:tc>
        <w:tc>
          <w:tcPr>
            <w:tcW w:type="dxa" w:w="4762"/>
          </w:tcPr>
          <w:p>
            <w:pPr>
              <w:spacing w:after="40" w:before="40"/>
            </w:pPr>
            <w:r>
              <w:rPr>
                <w:rFonts w:ascii="Calibri" w:hAnsi="Calibri"/>
                <w:b w:val="0"/>
                <w:i w:val="0"/>
                <w:sz w:val="17"/>
              </w:rPr>
              <w:t>Volume, material and units per case stated</w:t>
            </w:r>
          </w:p>
        </w:tc>
        <w:tc>
          <w:tcPr>
            <w:tcW w:type="dxa" w:w="907"/>
          </w:tcPr>
          <w:p>
            <w:pPr>
              <w:spacing w:after="40" w:before="40"/>
              <w:jc w:val="center"/>
            </w:pPr>
            <w:r>
              <w:rPr>
                <w:rFonts w:ascii="Calibri" w:hAnsi="Calibri"/>
                <w:b w:val="0"/>
                <w:i w:val="0"/>
                <w:sz w:val="17"/>
              </w:rPr>
              <w:t>Case</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18</w:t>
            </w:r>
          </w:p>
        </w:tc>
        <w:tc>
          <w:tcPr>
            <w:tcW w:type="dxa" w:w="2551"/>
            <w:shd w:val="clear" w:fill="F4F8FC"/>
          </w:tcPr>
          <w:p>
            <w:pPr>
              <w:spacing w:after="40" w:before="40"/>
            </w:pPr>
            <w:r>
              <w:rPr>
                <w:rFonts w:ascii="Calibri" w:hAnsi="Calibri"/>
                <w:b/>
                <w:i w:val="0"/>
                <w:sz w:val="17"/>
              </w:rPr>
              <w:t>Mug</w:t>
            </w:r>
          </w:p>
        </w:tc>
        <w:tc>
          <w:tcPr>
            <w:tcW w:type="dxa" w:w="4762"/>
            <w:shd w:val="clear" w:fill="F4F8FC"/>
          </w:tcPr>
          <w:p>
            <w:pPr>
              <w:spacing w:after="40" w:before="40"/>
            </w:pPr>
            <w:r>
              <w:rPr>
                <w:rFonts w:ascii="Calibri" w:hAnsi="Calibri"/>
                <w:b w:val="0"/>
                <w:i w:val="0"/>
                <w:sz w:val="17"/>
              </w:rPr>
              <w:t>Volume, material and printing option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19</w:t>
            </w:r>
          </w:p>
        </w:tc>
        <w:tc>
          <w:tcPr>
            <w:tcW w:type="dxa" w:w="2551"/>
          </w:tcPr>
          <w:p>
            <w:pPr>
              <w:spacing w:after="40" w:before="40"/>
            </w:pPr>
            <w:r>
              <w:rPr>
                <w:rFonts w:ascii="Calibri" w:hAnsi="Calibri"/>
                <w:b/>
                <w:i w:val="0"/>
                <w:sz w:val="17"/>
              </w:rPr>
              <w:t>Teapot and kettle set</w:t>
            </w:r>
          </w:p>
        </w:tc>
        <w:tc>
          <w:tcPr>
            <w:tcW w:type="dxa" w:w="4762"/>
          </w:tcPr>
          <w:p>
            <w:pPr>
              <w:spacing w:after="40" w:before="40"/>
            </w:pPr>
            <w:r>
              <w:rPr>
                <w:rFonts w:ascii="Calibri" w:hAnsi="Calibri"/>
                <w:b w:val="0"/>
                <w:i w:val="0"/>
                <w:sz w:val="17"/>
              </w:rPr>
              <w:t>Capacity and material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20</w:t>
            </w:r>
          </w:p>
        </w:tc>
        <w:tc>
          <w:tcPr>
            <w:tcW w:type="dxa" w:w="2551"/>
            <w:shd w:val="clear" w:fill="F4F8FC"/>
          </w:tcPr>
          <w:p>
            <w:pPr>
              <w:spacing w:after="40" w:before="40"/>
            </w:pPr>
            <w:r>
              <w:rPr>
                <w:rFonts w:ascii="Calibri" w:hAnsi="Calibri"/>
                <w:b/>
                <w:i w:val="0"/>
                <w:sz w:val="17"/>
              </w:rPr>
              <w:t>Tray and serving tray</w:t>
            </w:r>
          </w:p>
        </w:tc>
        <w:tc>
          <w:tcPr>
            <w:tcW w:type="dxa" w:w="4762"/>
            <w:shd w:val="clear" w:fill="F4F8FC"/>
          </w:tcPr>
          <w:p>
            <w:pPr>
              <w:spacing w:after="40" w:before="40"/>
            </w:pPr>
            <w:r>
              <w:rPr>
                <w:rFonts w:ascii="Calibri" w:hAnsi="Calibri"/>
                <w:b w:val="0"/>
                <w:i w:val="0"/>
                <w:sz w:val="17"/>
              </w:rPr>
              <w:t>Dimensions, material and non-slip surface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21</w:t>
            </w:r>
          </w:p>
        </w:tc>
        <w:tc>
          <w:tcPr>
            <w:tcW w:type="dxa" w:w="2551"/>
          </w:tcPr>
          <w:p>
            <w:pPr>
              <w:spacing w:after="40" w:before="40"/>
            </w:pPr>
            <w:r>
              <w:rPr>
                <w:rFonts w:ascii="Calibri" w:hAnsi="Calibri"/>
                <w:b/>
                <w:i w:val="0"/>
                <w:sz w:val="17"/>
              </w:rPr>
              <w:t>Sugar, napkin and condiment holders</w:t>
            </w:r>
          </w:p>
        </w:tc>
        <w:tc>
          <w:tcPr>
            <w:tcW w:type="dxa" w:w="4762"/>
          </w:tcPr>
          <w:p>
            <w:pPr>
              <w:spacing w:after="40" w:before="40"/>
            </w:pPr>
            <w:r>
              <w:rPr>
                <w:rFonts w:ascii="Calibri" w:hAnsi="Calibri"/>
                <w:b w:val="0"/>
                <w:i w:val="0"/>
                <w:sz w:val="17"/>
              </w:rPr>
              <w:t>Material and capacity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22</w:t>
            </w:r>
          </w:p>
        </w:tc>
        <w:tc>
          <w:tcPr>
            <w:tcW w:type="dxa" w:w="2551"/>
            <w:shd w:val="clear" w:fill="F4F8FC"/>
          </w:tcPr>
          <w:p>
            <w:pPr>
              <w:spacing w:after="40" w:before="40"/>
            </w:pPr>
            <w:r>
              <w:rPr>
                <w:rFonts w:ascii="Calibri" w:hAnsi="Calibri"/>
                <w:b/>
                <w:i w:val="0"/>
                <w:sz w:val="17"/>
              </w:rPr>
              <w:t>Kitchen unit and worktop</w:t>
            </w:r>
          </w:p>
        </w:tc>
        <w:tc>
          <w:tcPr>
            <w:tcW w:type="dxa" w:w="4762"/>
            <w:shd w:val="clear" w:fill="F4F8FC"/>
          </w:tcPr>
          <w:p>
            <w:pPr>
              <w:spacing w:after="40" w:before="40"/>
            </w:pPr>
            <w:r>
              <w:rPr>
                <w:rFonts w:ascii="Calibri" w:hAnsi="Calibri"/>
                <w:b w:val="0"/>
                <w:i w:val="0"/>
                <w:sz w:val="17"/>
              </w:rPr>
              <w:t>Dimensions, carcass material and worktop finish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23</w:t>
            </w:r>
          </w:p>
        </w:tc>
        <w:tc>
          <w:tcPr>
            <w:tcW w:type="dxa" w:w="2551"/>
          </w:tcPr>
          <w:p>
            <w:pPr>
              <w:spacing w:after="40" w:before="40"/>
            </w:pPr>
            <w:r>
              <w:rPr>
                <w:rFonts w:ascii="Calibri" w:hAnsi="Calibri"/>
                <w:b/>
                <w:i w:val="0"/>
                <w:sz w:val="17"/>
              </w:rPr>
              <w:t>Sink and tap</w:t>
            </w:r>
          </w:p>
        </w:tc>
        <w:tc>
          <w:tcPr>
            <w:tcW w:type="dxa" w:w="4762"/>
          </w:tcPr>
          <w:p>
            <w:pPr>
              <w:spacing w:after="40" w:before="40"/>
            </w:pPr>
            <w:r>
              <w:rPr>
                <w:rFonts w:ascii="Calibri" w:hAnsi="Calibri"/>
                <w:b w:val="0"/>
                <w:i w:val="0"/>
                <w:sz w:val="17"/>
              </w:rPr>
              <w:t>Bowl size, material, tap type and connection stated</w:t>
            </w:r>
          </w:p>
        </w:tc>
        <w:tc>
          <w:tcPr>
            <w:tcW w:type="dxa" w:w="907"/>
          </w:tcPr>
          <w:p>
            <w:pPr>
              <w:spacing w:after="40" w:before="40"/>
              <w:jc w:val="center"/>
            </w:pPr>
            <w:r>
              <w:rPr>
                <w:rFonts w:ascii="Calibri" w:hAnsi="Calibri"/>
                <w:b w:val="0"/>
                <w:i w:val="0"/>
                <w:sz w:val="17"/>
              </w:rPr>
              <w:t>Each</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24</w:t>
            </w:r>
          </w:p>
        </w:tc>
        <w:tc>
          <w:tcPr>
            <w:tcW w:type="dxa" w:w="2551"/>
            <w:shd w:val="clear" w:fill="F4F8FC"/>
          </w:tcPr>
          <w:p>
            <w:pPr>
              <w:spacing w:after="40" w:before="40"/>
            </w:pPr>
            <w:r>
              <w:rPr>
                <w:rFonts w:ascii="Calibri" w:hAnsi="Calibri"/>
                <w:b/>
                <w:i w:val="0"/>
                <w:sz w:val="17"/>
              </w:rPr>
              <w:t>Kitchen waste bin</w:t>
            </w:r>
          </w:p>
        </w:tc>
        <w:tc>
          <w:tcPr>
            <w:tcW w:type="dxa" w:w="4762"/>
            <w:shd w:val="clear" w:fill="F4F8FC"/>
          </w:tcPr>
          <w:p>
            <w:pPr>
              <w:spacing w:after="40" w:before="40"/>
            </w:pPr>
            <w:r>
              <w:rPr>
                <w:rFonts w:ascii="Calibri" w:hAnsi="Calibri"/>
                <w:b w:val="0"/>
                <w:i w:val="0"/>
                <w:sz w:val="17"/>
              </w:rPr>
              <w:t>Capacity, pedal or sensor and inner bucket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r>
        <w:tc>
          <w:tcPr>
            <w:tcW w:type="dxa" w:w="624"/>
          </w:tcPr>
          <w:p>
            <w:pPr>
              <w:spacing w:after="40" w:before="40"/>
              <w:jc w:val="center"/>
            </w:pPr>
            <w:r>
              <w:rPr>
                <w:rFonts w:ascii="Calibri" w:hAnsi="Calibri"/>
                <w:b w:val="0"/>
                <w:i w:val="0"/>
                <w:sz w:val="17"/>
              </w:rPr>
              <w:t>25</w:t>
            </w:r>
          </w:p>
        </w:tc>
        <w:tc>
          <w:tcPr>
            <w:tcW w:type="dxa" w:w="2551"/>
          </w:tcPr>
          <w:p>
            <w:pPr>
              <w:spacing w:after="40" w:before="40"/>
            </w:pPr>
            <w:r>
              <w:rPr>
                <w:rFonts w:ascii="Calibri" w:hAnsi="Calibri"/>
                <w:b/>
                <w:i w:val="0"/>
                <w:sz w:val="17"/>
              </w:rPr>
              <w:t>Dishwasher detergent and rinse aid</w:t>
            </w:r>
          </w:p>
        </w:tc>
        <w:tc>
          <w:tcPr>
            <w:tcW w:type="dxa" w:w="4762"/>
          </w:tcPr>
          <w:p>
            <w:pPr>
              <w:spacing w:after="40" w:before="40"/>
            </w:pPr>
            <w:r>
              <w:rPr>
                <w:rFonts w:ascii="Calibri" w:hAnsi="Calibri"/>
                <w:b w:val="0"/>
                <w:i w:val="0"/>
                <w:sz w:val="17"/>
              </w:rPr>
              <w:t>Dosing rate and water hardness range stated</w:t>
            </w:r>
          </w:p>
        </w:tc>
        <w:tc>
          <w:tcPr>
            <w:tcW w:type="dxa" w:w="907"/>
          </w:tcPr>
          <w:p>
            <w:pPr>
              <w:spacing w:after="40" w:before="40"/>
              <w:jc w:val="center"/>
            </w:pPr>
            <w:r>
              <w:rPr>
                <w:rFonts w:ascii="Calibri" w:hAnsi="Calibri"/>
                <w:b w:val="0"/>
                <w:i w:val="0"/>
                <w:sz w:val="17"/>
              </w:rPr>
              <w:t>Drum</w:t>
            </w:r>
          </w:p>
        </w:tc>
        <w:tc>
          <w:tcPr>
            <w:tcW w:type="dxa" w:w="907"/>
          </w:tcPr>
          <w:p>
            <w:pPr>
              <w:spacing w:after="40" w:before="40"/>
              <w:jc w:val="center"/>
            </w:pPr>
            <w:r>
              <w:rPr>
                <w:rFonts w:ascii="Calibri" w:hAnsi="Calibri"/>
                <w:b w:val="0"/>
                <w:i w:val="0"/>
                <w:sz w:val="17"/>
              </w:rPr>
            </w:r>
          </w:p>
        </w:tc>
      </w:tr>
      <w:tr>
        <w:tc>
          <w:tcPr>
            <w:tcW w:type="dxa" w:w="624"/>
            <w:shd w:val="clear" w:fill="F4F8FC"/>
          </w:tcPr>
          <w:p>
            <w:pPr>
              <w:spacing w:after="40" w:before="40"/>
              <w:jc w:val="center"/>
            </w:pPr>
            <w:r>
              <w:rPr>
                <w:rFonts w:ascii="Calibri" w:hAnsi="Calibri"/>
                <w:b w:val="0"/>
                <w:i w:val="0"/>
                <w:sz w:val="17"/>
              </w:rPr>
              <w:t>26</w:t>
            </w:r>
          </w:p>
        </w:tc>
        <w:tc>
          <w:tcPr>
            <w:tcW w:type="dxa" w:w="2551"/>
            <w:shd w:val="clear" w:fill="F4F8FC"/>
          </w:tcPr>
          <w:p>
            <w:pPr>
              <w:spacing w:after="40" w:before="40"/>
            </w:pPr>
            <w:r>
              <w:rPr>
                <w:rFonts w:ascii="Calibri" w:hAnsi="Calibri"/>
                <w:b/>
                <w:i w:val="0"/>
                <w:sz w:val="17"/>
              </w:rPr>
              <w:t>Descaler and machine care kit</w:t>
            </w:r>
          </w:p>
        </w:tc>
        <w:tc>
          <w:tcPr>
            <w:tcW w:type="dxa" w:w="4762"/>
            <w:shd w:val="clear" w:fill="F4F8FC"/>
          </w:tcPr>
          <w:p>
            <w:pPr>
              <w:spacing w:after="40" w:before="40"/>
            </w:pPr>
            <w:r>
              <w:rPr>
                <w:rFonts w:ascii="Calibri" w:hAnsi="Calibri"/>
                <w:b w:val="0"/>
                <w:i w:val="0"/>
                <w:sz w:val="17"/>
              </w:rPr>
              <w:t>Machine compatibility and dosing stated</w:t>
            </w:r>
          </w:p>
        </w:tc>
        <w:tc>
          <w:tcPr>
            <w:tcW w:type="dxa" w:w="907"/>
            <w:shd w:val="clear" w:fill="F4F8FC"/>
          </w:tcPr>
          <w:p>
            <w:pPr>
              <w:spacing w:after="40" w:before="40"/>
              <w:jc w:val="center"/>
            </w:pPr>
            <w:r>
              <w:rPr>
                <w:rFonts w:ascii="Calibri" w:hAnsi="Calibri"/>
                <w:b w:val="0"/>
                <w:i w:val="0"/>
                <w:sz w:val="17"/>
              </w:rPr>
              <w:t>Each</w:t>
            </w:r>
          </w:p>
        </w:tc>
        <w:tc>
          <w:tcPr>
            <w:tcW w:type="dxa" w:w="907"/>
            <w:shd w:val="clear" w:fill="F4F8FC"/>
          </w:tcPr>
          <w:p>
            <w:pPr>
              <w:spacing w:after="40" w:before="40"/>
              <w:jc w:val="center"/>
            </w:pPr>
            <w:r>
              <w:rPr>
                <w:rFonts w:ascii="Calibri" w:hAnsi="Calibri"/>
                <w:b w:val="0"/>
                <w:i w:val="0"/>
                <w:sz w:val="17"/>
              </w:rPr>
            </w:r>
          </w:p>
        </w:tc>
      </w:tr>
    </w:tbl>
    <w:p>
      <w:pPr>
        <w:spacing w:after="200" w:before="0"/>
      </w:pPr>
    </w:p>
    <w:p>
      <w:pPr>
        <w:spacing w:before="280" w:after="100"/>
      </w:pPr>
      <w:r>
        <w:rPr>
          <w:rFonts w:ascii="Calibri" w:hAnsi="Calibri"/>
          <w:b/>
          <w:i w:val="0"/>
          <w:color w:val="1F2937"/>
          <w:sz w:val="26"/>
        </w:rPr>
        <w:t>15. Approval</w:t>
      </w:r>
    </w:p>
    <w:p>
      <w:pPr>
        <w:spacing w:after="280" w:before="0"/>
      </w:pPr>
      <w:r>
        <w:rPr>
          <w:rFonts w:ascii="Calibri" w:hAnsi="Calibri"/>
          <w:b w:val="0"/>
          <w:i w:val="0"/>
          <w:sz w:val="20"/>
        </w:rPr>
        <w:t>This technical specification consists of … pages and … clauses and has been prepared and signed by those named below.</w:t>
      </w:r>
    </w:p>
    <w:tbl>
      <w:tblPr>
        <w:tblW w:type="auto" w:w="0"/>
        <w:tblLook w:firstColumn="1" w:firstRow="1" w:lastColumn="0" w:lastRow="0" w:noHBand="0" w:noVBand="1" w:val="04A0"/>
      </w:tblPr>
      <w:tblGrid>
        <w:gridCol w:w="3362"/>
        <w:gridCol w:w="3362"/>
        <w:gridCol w:w="3362"/>
      </w:tblGrid>
      <w:tr>
        <w:tc>
          <w:tcPr>
            <w:tcW w:type="dxa" w:w="3175"/>
            <w:shd w:val="clear" w:fill="F4F8FC"/>
          </w:tcPr>
          <w:p>
            <w:pPr>
              <w:spacing w:after="80"/>
            </w:pPr>
            <w:r>
              <w:rPr>
                <w:rFonts w:ascii="Calibri" w:hAnsi="Calibri"/>
                <w:b/>
                <w:i w:val="0"/>
                <w:color w:val="1F2937"/>
                <w:sz w:val="19"/>
              </w:rPr>
              <w:t>Prepared by</w:t>
            </w:r>
          </w:p>
        </w:tc>
        <w:tc>
          <w:tcPr>
            <w:tcW w:type="dxa" w:w="3175"/>
            <w:shd w:val="clear" w:fill="F4F8FC"/>
          </w:tcPr>
          <w:p>
            <w:pPr>
              <w:spacing w:after="80"/>
            </w:pPr>
            <w:r>
              <w:rPr>
                <w:rFonts w:ascii="Calibri" w:hAnsi="Calibri"/>
                <w:b/>
                <w:i w:val="0"/>
                <w:color w:val="1F2937"/>
                <w:sz w:val="19"/>
              </w:rPr>
              <w:t>Checked by</w:t>
            </w:r>
          </w:p>
        </w:tc>
        <w:tc>
          <w:tcPr>
            <w:tcW w:type="dxa" w:w="3175"/>
            <w:shd w:val="clear" w:fill="F4F8FC"/>
          </w:tcPr>
          <w:p>
            <w:pPr>
              <w:spacing w:after="80"/>
            </w:pPr>
            <w:r>
              <w:rPr>
                <w:rFonts w:ascii="Calibri" w:hAnsi="Calibri"/>
                <w:b/>
                <w:i w:val="0"/>
                <w:color w:val="1F2937"/>
                <w:sz w:val="19"/>
              </w:rPr>
              <w:t>Approved by</w:t>
            </w:r>
          </w:p>
        </w:tc>
      </w:tr>
      <w:tr>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c>
          <w:tcPr>
            <w:tcW w:type="dxa" w:w="3175"/>
          </w:tcPr>
          <w:p>
            <w:pPr>
              <w:spacing w:after="80"/>
            </w:pPr>
            <w:r>
              <w:rPr>
                <w:rFonts w:ascii="Calibri" w:hAnsi="Calibri"/>
                <w:b w:val="0"/>
                <w:i w:val="0"/>
                <w:sz w:val="19"/>
              </w:rPr>
              <w:t>Name: …</w:t>
            </w:r>
          </w:p>
        </w:tc>
      </w:tr>
      <w:tr>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c>
          <w:tcPr>
            <w:tcW w:type="dxa" w:w="3175"/>
          </w:tcPr>
          <w:p>
            <w:pPr>
              <w:spacing w:after="80"/>
            </w:pPr>
            <w:r>
              <w:rPr>
                <w:rFonts w:ascii="Calibri" w:hAnsi="Calibri"/>
                <w:b w:val="0"/>
                <w:i w:val="0"/>
                <w:sz w:val="19"/>
              </w:rPr>
              <w:t>Title: …</w:t>
            </w:r>
          </w:p>
        </w:tc>
      </w:tr>
      <w:tr>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c>
          <w:tcPr>
            <w:tcW w:type="dxa" w:w="3175"/>
          </w:tcPr>
          <w:p>
            <w:pPr>
              <w:spacing w:after="80"/>
            </w:pPr>
            <w:r>
              <w:rPr>
                <w:rFonts w:ascii="Calibri" w:hAnsi="Calibri"/>
                <w:b w:val="0"/>
                <w:i w:val="0"/>
                <w:sz w:val="19"/>
              </w:rPr>
              <w:t>Signature:</w:t>
            </w:r>
          </w:p>
        </w:tc>
      </w:tr>
    </w:tbl>
    <w:p>
      <w:pPr>
        <w:spacing w:after="240" w:before="0"/>
      </w:pPr>
    </w:p>
    <w:p>
      <w:pPr>
        <w:spacing w:after="160" w:before="0"/>
      </w:pPr>
      <w:r>
        <w:rPr>
          <w:rFonts w:ascii="Calibri" w:hAnsi="Calibri"/>
          <w:b w:val="0"/>
          <w:i/>
          <w:color w:val="5F7891"/>
          <w:sz w:val="17"/>
        </w:rPr>
        <w:t>This template is a general-purpose example and should be adapted to your organisation's requirements and to the rules that apply where you are buying. Fields left as an ellipsis (…) are completed by the buyer. The governing principle behind it is that technical criteria should secure efficiency and fitness for purpose, should not restrict competition, and should give every bidder an equal opportunity — a requirement written into public procurement law in many countries. Check the legislation in force where you are.</w:t>
      </w:r>
    </w:p>
    <w:p>
      <w:pPr>
        <w:spacing w:after="120" w:before="0"/>
      </w:pPr>
      <w:r>
        <w:rPr>
          <w:rFonts w:ascii="Calibri" w:hAnsi="Calibri"/>
          <w:b w:val="0"/>
          <w:i w:val="0"/>
          <w:color w:val="5F7891"/>
          <w:sz w:val="16"/>
        </w:rPr>
        <w:t>Template: AKSCO Ticaret ve Tedarik · https://aksco.com.tr · 0534 335 69 22 · Version 2026-09-25 · Free, no sign-up required</w:t>
      </w:r>
    </w:p>
    <w:sectPr w:rsidR="00FC693F" w:rsidRPr="0006063C" w:rsidSect="00034616">
      <w:pgSz w:w="12240" w:h="15840"/>
      <w:pgMar w:top="1020" w:right="1077" w:bottom="1020"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AKSCO Ticaret ve Tedarik</dc:creator>
  <cp:keywords/>
  <dc:description>generated by python-docx</dc:description>
  <cp:lastModifiedBy/>
  <cp:revision>1</cp:revision>
  <dcterms:created xsi:type="dcterms:W3CDTF">2026-09-25T12:00:00Z</dcterms:created>
  <dcterms:modified xsi:type="dcterms:W3CDTF">2026-09-25T12:00:00Z</dcterms:modified>
  <cp:category/>
</cp:coreProperties>
</file>