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pPr>
      <w:r>
        <w:rPr>
          <w:rFonts w:ascii="Calibri" w:hAnsi="Calibri"/>
          <w:b/>
          <w:i w:val="0"/>
          <w:color w:val="1F2937"/>
          <w:sz w:val="34"/>
        </w:rPr>
        <w:t>TECHNICAL SPECIFICATION</w:t>
      </w:r>
    </w:p>
    <w:p>
      <w:pPr>
        <w:spacing w:after="200" w:before="0"/>
      </w:pPr>
      <w:r>
        <w:rPr>
          <w:rFonts w:ascii="Calibri" w:hAnsi="Calibri"/>
          <w:b/>
          <w:i w:val="0"/>
          <w:color w:val="CA4B04"/>
          <w:sz w:val="24"/>
        </w:rPr>
        <w:t>CORPORATE APPAREL AND PROMOTIONAL ITEMS</w:t>
      </w:r>
    </w:p>
    <w:tbl>
      <w:tblPr>
        <w:tblW w:type="auto" w:w="0"/>
        <w:jc w:val="left"/>
        <w:tblLook w:firstColumn="1" w:firstRow="1" w:lastColumn="0" w:lastRow="0" w:noHBand="0" w:noVBand="1" w:val="04A0"/>
      </w:tblPr>
      <w:tblGrid>
        <w:gridCol w:w="5043"/>
        <w:gridCol w:w="5043"/>
      </w:tblGrid>
      <w:tr>
        <w:tc>
          <w:tcPr>
            <w:tcW w:type="dxa" w:w="2608"/>
            <w:shd w:val="clear" w:fill="F4F8FC"/>
          </w:tcPr>
          <w:p>
            <w:pPr>
              <w:spacing w:after="40"/>
            </w:pPr>
            <w:r>
              <w:rPr>
                <w:rFonts w:ascii="Calibri" w:hAnsi="Calibri"/>
                <w:b/>
                <w:i w:val="0"/>
                <w:color w:val="1F2937"/>
                <w:sz w:val="18"/>
              </w:rPr>
              <w:t>Buyer / organisation</w:t>
            </w:r>
          </w:p>
        </w:tc>
        <w:tc>
          <w:tcPr>
            <w:tcW w:type="dxa" w:w="6917"/>
          </w:tcPr>
          <w:p>
            <w:pPr>
              <w:spacing w:after="40"/>
            </w:pPr>
            <w:r>
              <w:rPr>
                <w:rFonts w:ascii="Calibri" w:hAnsi="Calibri"/>
                <w:b w:val="0"/>
                <w:i w:val="0"/>
                <w:sz w:val="18"/>
              </w:rPr>
              <w:t>…</w:t>
            </w:r>
          </w:p>
        </w:tc>
      </w:tr>
      <w:tr>
        <w:tc>
          <w:tcPr>
            <w:tcW w:type="dxa" w:w="2608"/>
            <w:shd w:val="clear" w:fill="F4F8FC"/>
          </w:tcPr>
          <w:p>
            <w:pPr>
              <w:spacing w:after="40"/>
            </w:pPr>
            <w:r>
              <w:rPr>
                <w:rFonts w:ascii="Calibri" w:hAnsi="Calibri"/>
                <w:b/>
                <w:i w:val="0"/>
                <w:color w:val="1F2937"/>
                <w:sz w:val="18"/>
              </w:rPr>
              <w:t>Subject</w:t>
            </w:r>
          </w:p>
        </w:tc>
        <w:tc>
          <w:tcPr>
            <w:tcW w:type="dxa" w:w="6917"/>
          </w:tcPr>
          <w:p>
            <w:pPr>
              <w:spacing w:after="40"/>
            </w:pPr>
            <w:r>
              <w:rPr>
                <w:rFonts w:ascii="Calibri" w:hAnsi="Calibri"/>
                <w:b w:val="0"/>
                <w:i w:val="0"/>
                <w:sz w:val="18"/>
              </w:rPr>
              <w:t>Purchase of Corporate Apparel and Promotional Items</w:t>
            </w:r>
          </w:p>
        </w:tc>
      </w:tr>
      <w:tr>
        <w:tc>
          <w:tcPr>
            <w:tcW w:type="dxa" w:w="2608"/>
            <w:shd w:val="clear" w:fill="F4F8FC"/>
          </w:tcPr>
          <w:p>
            <w:pPr>
              <w:spacing w:after="40"/>
            </w:pPr>
            <w:r>
              <w:rPr>
                <w:rFonts w:ascii="Calibri" w:hAnsi="Calibri"/>
                <w:b/>
                <w:i w:val="0"/>
                <w:color w:val="1F2937"/>
                <w:sz w:val="18"/>
              </w:rPr>
              <w:t>Specification date</w:t>
            </w:r>
          </w:p>
        </w:tc>
        <w:tc>
          <w:tcPr>
            <w:tcW w:type="dxa" w:w="6917"/>
          </w:tcPr>
          <w:p>
            <w:pPr>
              <w:spacing w:after="40"/>
            </w:pPr>
            <w:r>
              <w:rPr>
                <w:rFonts w:ascii="Calibri" w:hAnsi="Calibri"/>
                <w:b w:val="0"/>
                <w:i w:val="0"/>
                <w:sz w:val="18"/>
              </w:rPr>
              <w:t>…</w:t>
            </w:r>
          </w:p>
        </w:tc>
      </w:tr>
      <w:tr>
        <w:tc>
          <w:tcPr>
            <w:tcW w:type="dxa" w:w="2608"/>
            <w:shd w:val="clear" w:fill="F4F8FC"/>
          </w:tcPr>
          <w:p>
            <w:pPr>
              <w:spacing w:after="40"/>
            </w:pPr>
            <w:r>
              <w:rPr>
                <w:rFonts w:ascii="Calibri" w:hAnsi="Calibri"/>
                <w:b/>
                <w:i w:val="0"/>
                <w:color w:val="1F2937"/>
                <w:sz w:val="18"/>
              </w:rPr>
              <w:t>Document no</w:t>
            </w:r>
          </w:p>
        </w:tc>
        <w:tc>
          <w:tcPr>
            <w:tcW w:type="dxa" w:w="6917"/>
          </w:tcPr>
          <w:p>
            <w:pPr>
              <w:spacing w:after="40"/>
            </w:pPr>
            <w:r>
              <w:rPr>
                <w:rFonts w:ascii="Calibri" w:hAnsi="Calibri"/>
                <w:b w:val="0"/>
                <w:i w:val="0"/>
                <w:sz w:val="18"/>
              </w:rPr>
              <w:t>…</w:t>
            </w:r>
          </w:p>
        </w:tc>
      </w:tr>
    </w:tbl>
    <w:p>
      <w:pPr>
        <w:spacing w:after="160" w:before="0"/>
      </w:pPr>
    </w:p>
    <w:p>
      <w:pPr>
        <w:spacing w:before="200" w:after="100"/>
      </w:pPr>
      <w:r>
        <w:rPr>
          <w:rFonts w:ascii="Calibri" w:hAnsi="Calibri"/>
          <w:b/>
          <w:i w:val="0"/>
          <w:color w:val="1F2937"/>
          <w:sz w:val="22"/>
        </w:rPr>
        <w:t>1. Scope</w:t>
      </w:r>
    </w:p>
    <w:p>
      <w:pPr>
        <w:spacing w:after="120" w:before="0"/>
      </w:pPr>
      <w:r>
        <w:rPr>
          <w:rFonts w:ascii="Calibri" w:hAnsi="Calibri"/>
          <w:b w:val="0"/>
          <w:i w:val="0"/>
          <w:sz w:val="20"/>
        </w:rPr>
        <w:t>This technical specification sets out the technical criteria for the purchase of the corporate apparel and promotional items listed in the table below, with their description, technical properties, unit and quantity.</w:t>
      </w:r>
    </w:p>
    <w:p>
      <w:pPr>
        <w:spacing w:before="200" w:after="100"/>
      </w:pPr>
      <w:r>
        <w:rPr>
          <w:rFonts w:ascii="Calibri" w:hAnsi="Calibri"/>
          <w:b/>
          <w:i w:val="0"/>
          <w:color w:val="1F2937"/>
          <w:sz w:val="22"/>
        </w:rPr>
        <w:t>2. Conformity</w:t>
      </w:r>
    </w:p>
    <w:p>
      <w:pPr>
        <w:spacing w:after="120" w:before="0"/>
      </w:pPr>
      <w:r>
        <w:rPr>
          <w:rFonts w:ascii="Calibri" w:hAnsi="Calibri"/>
          <w:b w:val="0"/>
          <w:i w:val="0"/>
          <w:sz w:val="20"/>
        </w:rPr>
        <w:t>Products offered shall conform to the national and/or international standards cited in the table. Where the destination market requires a conformity marking (for example CE marking in the European Union and in Türkiye), that marking and the corresponding declaration of conformity shall be provided. Products subject to national registration — biocidal products and certain chemicals are the usual cases — shall carry the registration required in the country of use; the buyer states which country that is.</w:t>
      </w:r>
    </w:p>
    <w:p>
      <w:pPr>
        <w:spacing w:before="200" w:after="100"/>
      </w:pPr>
      <w:r>
        <w:rPr>
          <w:rFonts w:ascii="Calibri" w:hAnsi="Calibri"/>
          <w:b/>
          <w:i w:val="0"/>
          <w:color w:val="1F2937"/>
          <w:sz w:val="22"/>
        </w:rPr>
        <w:t>3. Brands and models</w:t>
      </w:r>
    </w:p>
    <w:p>
      <w:pPr>
        <w:spacing w:after="120" w:before="0"/>
      </w:pPr>
      <w:r>
        <w:rPr>
          <w:rFonts w:ascii="Calibri" w:hAnsi="Calibri"/>
          <w:b w:val="0"/>
          <w:i w:val="0"/>
          <w:sz w:val="20"/>
        </w:rPr>
        <w:t>Technical properties are defined by measurable criteria and do not direct the tender towards any particular brand or model. No brand, model, patent, origin or source is named for any line in the table. Naming a brand locks a quotation to a single source and ends the comparison; in public procurement it is restricted or prohibited in many jurisdictions, Türkiye among them. Where a technical property genuinely cannot be expressed in measurable terms, a reference model may be named only together with the words “or equivalent”, and the criteria by which equivalence will be judged shall be written out. “Or equivalent” on its own defines nothing.</w:t>
      </w:r>
    </w:p>
    <w:p>
      <w:pPr>
        <w:spacing w:before="200" w:after="100"/>
      </w:pPr>
      <w:r>
        <w:rPr>
          <w:rFonts w:ascii="Calibri" w:hAnsi="Calibri"/>
          <w:b/>
          <w:i w:val="0"/>
          <w:color w:val="1F2937"/>
          <w:sz w:val="22"/>
        </w:rPr>
        <w:t>4. Packaging and labelling</w:t>
      </w:r>
    </w:p>
    <w:p>
      <w:pPr>
        <w:spacing w:after="120" w:before="0"/>
      </w:pPr>
      <w:r>
        <w:rPr>
          <w:rFonts w:ascii="Calibri" w:hAnsi="Calibri"/>
          <w:b w:val="0"/>
          <w:i w:val="0"/>
          <w:sz w:val="20"/>
        </w:rPr>
        <w:t>Products shall be delivered in their original packaging, unopened and undamaged. The packaging shall legibly show the product name, the manufacturer or importer, the batch or serial number, the date of manufacture and, where applicable, the expiry date. Where instructions for use are required, they shall be supplied in the language the buyer specifies.</w:t>
      </w:r>
    </w:p>
    <w:p>
      <w:pPr>
        <w:spacing w:before="200" w:after="100"/>
      </w:pPr>
      <w:r>
        <w:rPr>
          <w:rFonts w:ascii="Calibri" w:hAnsi="Calibri"/>
          <w:b/>
          <w:i w:val="0"/>
          <w:color w:val="1F2937"/>
          <w:sz w:val="22"/>
        </w:rPr>
        <w:t>5. Shelf life</w:t>
      </w:r>
    </w:p>
    <w:p>
      <w:pPr>
        <w:spacing w:after="120" w:before="0"/>
      </w:pPr>
      <w:r>
        <w:rPr>
          <w:rFonts w:ascii="Calibri" w:hAnsi="Calibri"/>
          <w:b w:val="0"/>
          <w:i w:val="0"/>
          <w:sz w:val="20"/>
        </w:rPr>
        <w:t>For products carrying an expiry date, at least 75% of the total shelf life shall remain at the date of delivery. Products not meeting this condition will not be accepted. The buyer may set a different percentage; the figure is what makes the clause enforceable.</w:t>
      </w:r>
    </w:p>
    <w:p>
      <w:pPr>
        <w:spacing w:before="200" w:after="100"/>
      </w:pPr>
      <w:r>
        <w:rPr>
          <w:rFonts w:ascii="Calibri" w:hAnsi="Calibri"/>
          <w:b/>
          <w:i w:val="0"/>
          <w:color w:val="1F2937"/>
          <w:sz w:val="22"/>
        </w:rPr>
        <w:t>6. Safety data sheet</w:t>
      </w:r>
    </w:p>
    <w:p>
      <w:pPr>
        <w:spacing w:after="120" w:before="0"/>
      </w:pPr>
      <w:r>
        <w:rPr>
          <w:rFonts w:ascii="Calibri" w:hAnsi="Calibri"/>
          <w:b w:val="0"/>
          <w:i w:val="0"/>
          <w:sz w:val="20"/>
        </w:rPr>
        <w:t>For chemical products, a current safety data sheet shall be supplied with the delivery, in the language and format required in the country of use.</w:t>
      </w:r>
    </w:p>
    <w:p>
      <w:pPr>
        <w:spacing w:before="200" w:after="100"/>
      </w:pPr>
      <w:r>
        <w:rPr>
          <w:rFonts w:ascii="Calibri" w:hAnsi="Calibri"/>
          <w:b/>
          <w:i w:val="0"/>
          <w:color w:val="1F2937"/>
          <w:sz w:val="22"/>
        </w:rPr>
        <w:t>7. Samples</w:t>
      </w:r>
    </w:p>
    <w:p>
      <w:pPr>
        <w:spacing w:after="120" w:before="0"/>
      </w:pPr>
      <w:r>
        <w:rPr>
          <w:rFonts w:ascii="Calibri" w:hAnsi="Calibri"/>
          <w:b w:val="0"/>
          <w:i w:val="0"/>
          <w:sz w:val="20"/>
        </w:rPr>
        <w:t>The buyer may request free samples of any line during evaluation. Samples shall be delivered with the quotation or within the period the buyer sets. A line for which a sample was requested and not supplied may be excluded from evaluation.</w:t>
      </w:r>
    </w:p>
    <w:p>
      <w:pPr>
        <w:spacing w:before="200" w:after="100"/>
      </w:pPr>
      <w:r>
        <w:rPr>
          <w:rFonts w:ascii="Calibri" w:hAnsi="Calibri"/>
          <w:b/>
          <w:i w:val="0"/>
          <w:color w:val="1F2937"/>
          <w:sz w:val="22"/>
        </w:rPr>
        <w:t>8. Place and time of delivery</w:t>
      </w:r>
    </w:p>
    <w:p>
      <w:pPr>
        <w:spacing w:after="120" w:before="0"/>
      </w:pPr>
      <w:r>
        <w:rPr>
          <w:rFonts w:ascii="Calibri" w:hAnsi="Calibri"/>
          <w:b w:val="0"/>
          <w:i w:val="0"/>
          <w:sz w:val="20"/>
        </w:rPr>
        <w:t>Delivery shall be made to the address or addresses notified by the buyer. Carriage and unloading are the supplier's responsibility unless the agreed delivery term states otherwise. For cross-border orders the delivery term shall be stated as an Incoterms 2020 rule (for example EXW, FCA, CPT or DAP); the rule decides who arranges and pays for carriage and where the supplier's responsibility ends. The delivery period is at most … calendar days from order confirmation. Where there is more than one delivery point, the quantity for each point shall be stated separately.</w:t>
      </w:r>
    </w:p>
    <w:p>
      <w:pPr>
        <w:spacing w:before="200" w:after="100"/>
      </w:pPr>
      <w:r>
        <w:rPr>
          <w:rFonts w:ascii="Calibri" w:hAnsi="Calibri"/>
          <w:b/>
          <w:i w:val="0"/>
          <w:color w:val="1F2937"/>
          <w:sz w:val="22"/>
        </w:rPr>
        <w:t>9. Partial delivery</w:t>
      </w:r>
    </w:p>
    <w:p>
      <w:pPr>
        <w:spacing w:after="120" w:before="0"/>
      </w:pPr>
      <w:r>
        <w:rPr>
          <w:rFonts w:ascii="Calibri" w:hAnsi="Calibri"/>
          <w:b w:val="0"/>
          <w:i w:val="0"/>
          <w:sz w:val="20"/>
        </w:rPr>
        <w:t>No partial delivery shall be made without the buyer's approval. Where partial delivery is approved, a separate delivery note shall be issued for each consignment.</w:t>
      </w:r>
    </w:p>
    <w:p>
      <w:pPr>
        <w:spacing w:before="200" w:after="100"/>
      </w:pPr>
      <w:r>
        <w:rPr>
          <w:rFonts w:ascii="Calibri" w:hAnsi="Calibri"/>
          <w:b/>
          <w:i w:val="0"/>
          <w:color w:val="1F2937"/>
          <w:sz w:val="22"/>
        </w:rPr>
        <w:t>10. Inspection and acceptance</w:t>
      </w:r>
    </w:p>
    <w:p>
      <w:pPr>
        <w:spacing w:after="120" w:before="0"/>
      </w:pPr>
      <w:r>
        <w:rPr>
          <w:rFonts w:ascii="Calibri" w:hAnsi="Calibri"/>
          <w:b w:val="0"/>
          <w:i w:val="0"/>
          <w:sz w:val="20"/>
        </w:rPr>
        <w:t>Delivered products shall be examined against the criteria in this specification. Lines found not to conform shall be recorded and replaced by the supplier, at the supplier's cost, within at most … calendar days. The inspection criteria are the same figures written in the item table — nothing is checked that was not specified.</w:t>
      </w:r>
    </w:p>
    <w:p>
      <w:pPr>
        <w:spacing w:before="200" w:after="100"/>
      </w:pPr>
      <w:r>
        <w:rPr>
          <w:rFonts w:ascii="Calibri" w:hAnsi="Calibri"/>
          <w:b/>
          <w:i w:val="0"/>
          <w:color w:val="1F2937"/>
          <w:sz w:val="22"/>
        </w:rPr>
        <w:t>11. Warranty</w:t>
      </w:r>
    </w:p>
    <w:p>
      <w:pPr>
        <w:spacing w:after="120" w:before="0"/>
      </w:pPr>
      <w:r>
        <w:rPr>
          <w:rFonts w:ascii="Calibri" w:hAnsi="Calibri"/>
          <w:b w:val="0"/>
          <w:i w:val="0"/>
          <w:sz w:val="20"/>
        </w:rPr>
        <w:t>Items in the nature of equipment, tools and appliances shall be warranted against manufacturing defects for at least 2 (two) years from the date of delivery. For warranted faults the replacement or repair period shall be at most … working days. Statutory warranty and conformity periods in the country of use apply in addition and are not reduced by this clause.</w:t>
      </w:r>
    </w:p>
    <w:p>
      <w:pPr>
        <w:spacing w:before="200" w:after="100"/>
      </w:pPr>
      <w:r>
        <w:rPr>
          <w:rFonts w:ascii="Calibri" w:hAnsi="Calibri"/>
          <w:b/>
          <w:i w:val="0"/>
          <w:color w:val="1F2937"/>
          <w:sz w:val="22"/>
        </w:rPr>
        <w:t>12. Liability</w:t>
      </w:r>
    </w:p>
    <w:p>
      <w:pPr>
        <w:spacing w:after="120" w:before="0"/>
      </w:pPr>
      <w:r>
        <w:rPr>
          <w:rFonts w:ascii="Calibri" w:hAnsi="Calibri"/>
          <w:b w:val="0"/>
          <w:i w:val="0"/>
          <w:sz w:val="20"/>
        </w:rPr>
        <w:t>The supplier is responsible for damage, loss and delay arising in transport up to the point defined by the agreed delivery term. Losses arising from incorrect, incomplete or non-conforming delivery are for the supplier's account.</w:t>
      </w:r>
    </w:p>
    <w:p>
      <w:pPr>
        <w:spacing w:before="200" w:after="100"/>
      </w:pPr>
      <w:r>
        <w:rPr>
          <w:rFonts w:ascii="Calibri" w:hAnsi="Calibri"/>
          <w:b/>
          <w:i w:val="0"/>
          <w:color w:val="1F2937"/>
          <w:sz w:val="22"/>
        </w:rPr>
        <w:t>13. Price and invoicing</w:t>
      </w:r>
    </w:p>
    <w:p>
      <w:pPr>
        <w:spacing w:after="120" w:before="0"/>
      </w:pPr>
      <w:r>
        <w:rPr>
          <w:rFonts w:ascii="Calibri" w:hAnsi="Calibri"/>
          <w:b w:val="0"/>
          <w:i w:val="0"/>
          <w:sz w:val="20"/>
        </w:rPr>
        <w:t>Unit prices shall be quoted exclusive of VAT or sales tax; the applicable rate shall be shown on a separate line. The currency shall be stated on the quotation. The quotation shall remain valid for at least … days; where costs are denominated in a foreign currency, the basis of any exchange-rate adjustment shall be written out. Invoicing shall follow delivery as a single invoice unless agreed otherwise.</w:t>
      </w:r>
    </w:p>
    <w:p>
      <w:pPr>
        <w:spacing w:before="280" w:after="100"/>
      </w:pPr>
      <w:r>
        <w:rPr>
          <w:rFonts w:ascii="Calibri" w:hAnsi="Calibri"/>
          <w:b/>
          <w:i w:val="0"/>
          <w:color w:val="1F2937"/>
          <w:sz w:val="26"/>
        </w:rPr>
        <w:t>14. Item list and technical properties</w:t>
      </w:r>
    </w:p>
    <w:p>
      <w:pPr>
        <w:spacing w:after="160" w:before="0"/>
      </w:pPr>
      <w:r>
        <w:rPr>
          <w:rFonts w:ascii="Calibri" w:hAnsi="Calibri"/>
          <w:b w:val="0"/>
          <w:i w:val="0"/>
          <w:color w:val="5F7891"/>
          <w:sz w:val="18"/>
        </w:rPr>
        <w:t>The table below contains 28 items. Delete the rows your organisation does not need, add the rows it does, and complete the “Quantity” column.</w:t>
      </w:r>
    </w:p>
    <w:tbl>
      <w:tblPr>
        <w:tblStyle w:val="TableGrid"/>
        <w:tblW w:type="auto" w:w="0"/>
        <w:jc w:val="center"/>
        <w:tblLook w:firstColumn="1" w:firstRow="1" w:lastColumn="0" w:lastRow="0" w:noHBand="0" w:noVBand="1" w:val="04A0"/>
      </w:tblPr>
      <w:tblGrid>
        <w:gridCol w:w="2017"/>
        <w:gridCol w:w="2017"/>
        <w:gridCol w:w="2017"/>
        <w:gridCol w:w="2017"/>
        <w:gridCol w:w="2017"/>
      </w:tblGrid>
      <w:tr>
        <w:tc>
          <w:tcPr>
            <w:tcW w:type="dxa" w:w="624"/>
            <w:shd w:val="clear" w:fill="1F2937"/>
          </w:tcPr>
          <w:p>
            <w:pPr>
              <w:spacing w:after="40" w:before="40"/>
              <w:jc w:val="center"/>
            </w:pPr>
            <w:r>
              <w:rPr>
                <w:rFonts w:ascii="Calibri" w:hAnsi="Calibri"/>
                <w:b/>
                <w:i w:val="0"/>
                <w:color w:val="FFFFFF"/>
                <w:sz w:val="18"/>
              </w:rPr>
              <w:t>No</w:t>
            </w:r>
          </w:p>
        </w:tc>
        <w:tc>
          <w:tcPr>
            <w:tcW w:type="dxa" w:w="2551"/>
            <w:shd w:val="clear" w:fill="1F2937"/>
          </w:tcPr>
          <w:p>
            <w:pPr>
              <w:spacing w:after="40" w:before="40"/>
              <w:jc w:val="center"/>
            </w:pPr>
            <w:r>
              <w:rPr>
                <w:rFonts w:ascii="Calibri" w:hAnsi="Calibri"/>
                <w:b/>
                <w:i w:val="0"/>
                <w:color w:val="FFFFFF"/>
                <w:sz w:val="18"/>
              </w:rPr>
              <w:t>Item</w:t>
            </w:r>
          </w:p>
        </w:tc>
        <w:tc>
          <w:tcPr>
            <w:tcW w:type="dxa" w:w="4762"/>
            <w:shd w:val="clear" w:fill="1F2937"/>
          </w:tcPr>
          <w:p>
            <w:pPr>
              <w:spacing w:after="40" w:before="40"/>
              <w:jc w:val="center"/>
            </w:pPr>
            <w:r>
              <w:rPr>
                <w:rFonts w:ascii="Calibri" w:hAnsi="Calibri"/>
                <w:b/>
                <w:i w:val="0"/>
                <w:color w:val="FFFFFF"/>
                <w:sz w:val="18"/>
              </w:rPr>
              <w:t>Technical properties</w:t>
            </w:r>
          </w:p>
        </w:tc>
        <w:tc>
          <w:tcPr>
            <w:tcW w:type="dxa" w:w="907"/>
            <w:shd w:val="clear" w:fill="1F2937"/>
          </w:tcPr>
          <w:p>
            <w:pPr>
              <w:spacing w:after="40" w:before="40"/>
              <w:jc w:val="center"/>
            </w:pPr>
            <w:r>
              <w:rPr>
                <w:rFonts w:ascii="Calibri" w:hAnsi="Calibri"/>
                <w:b/>
                <w:i w:val="0"/>
                <w:color w:val="FFFFFF"/>
                <w:sz w:val="18"/>
              </w:rPr>
              <w:t>Unit</w:t>
            </w:r>
          </w:p>
        </w:tc>
        <w:tc>
          <w:tcPr>
            <w:tcW w:type="dxa" w:w="907"/>
            <w:shd w:val="clear" w:fill="1F2937"/>
          </w:tcPr>
          <w:p>
            <w:pPr>
              <w:spacing w:after="40" w:before="40"/>
              <w:jc w:val="center"/>
            </w:pPr>
            <w:r>
              <w:rPr>
                <w:rFonts w:ascii="Calibri" w:hAnsi="Calibri"/>
                <w:b/>
                <w:i w:val="0"/>
                <w:color w:val="FFFFFF"/>
                <w:sz w:val="18"/>
              </w:rPr>
              <w:t>Quantity</w:t>
            </w:r>
          </w:p>
        </w:tc>
      </w:tr>
      <w:tr>
        <w:tc>
          <w:tcPr>
            <w:tcW w:type="dxa" w:w="624"/>
          </w:tcPr>
          <w:p>
            <w:pPr>
              <w:spacing w:after="40" w:before="40"/>
              <w:jc w:val="center"/>
            </w:pPr>
            <w:r>
              <w:rPr>
                <w:rFonts w:ascii="Calibri" w:hAnsi="Calibri"/>
                <w:b w:val="0"/>
                <w:i w:val="0"/>
                <w:sz w:val="17"/>
              </w:rPr>
              <w:t>1</w:t>
            </w:r>
          </w:p>
        </w:tc>
        <w:tc>
          <w:tcPr>
            <w:tcW w:type="dxa" w:w="2551"/>
          </w:tcPr>
          <w:p>
            <w:pPr>
              <w:spacing w:after="40" w:before="40"/>
            </w:pPr>
            <w:r>
              <w:rPr>
                <w:rFonts w:ascii="Calibri" w:hAnsi="Calibri"/>
                <w:b/>
                <w:i w:val="0"/>
                <w:sz w:val="17"/>
              </w:rPr>
              <w:t>T-shirt, crew neck</w:t>
            </w:r>
          </w:p>
        </w:tc>
        <w:tc>
          <w:tcPr>
            <w:tcW w:type="dxa" w:w="4762"/>
          </w:tcPr>
          <w:p>
            <w:pPr>
              <w:spacing w:after="40" w:before="40"/>
            </w:pPr>
            <w:r>
              <w:rPr>
                <w:rFonts w:ascii="Calibri" w:hAnsi="Calibri"/>
                <w:b w:val="0"/>
                <w:i w:val="0"/>
                <w:sz w:val="17"/>
              </w:rPr>
              <w:t>Composition and g/m² stated; size range S–4XL</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2</w:t>
            </w:r>
          </w:p>
        </w:tc>
        <w:tc>
          <w:tcPr>
            <w:tcW w:type="dxa" w:w="2551"/>
            <w:shd w:val="clear" w:fill="F4F8FC"/>
          </w:tcPr>
          <w:p>
            <w:pPr>
              <w:spacing w:after="40" w:before="40"/>
            </w:pPr>
            <w:r>
              <w:rPr>
                <w:rFonts w:ascii="Calibri" w:hAnsi="Calibri"/>
                <w:b/>
                <w:i w:val="0"/>
                <w:sz w:val="17"/>
              </w:rPr>
              <w:t>Polo shirt</w:t>
            </w:r>
          </w:p>
        </w:tc>
        <w:tc>
          <w:tcPr>
            <w:tcW w:type="dxa" w:w="4762"/>
            <w:shd w:val="clear" w:fill="F4F8FC"/>
          </w:tcPr>
          <w:p>
            <w:pPr>
              <w:spacing w:after="40" w:before="40"/>
            </w:pPr>
            <w:r>
              <w:rPr>
                <w:rFonts w:ascii="Calibri" w:hAnsi="Calibri"/>
                <w:b w:val="0"/>
                <w:i w:val="0"/>
                <w:sz w:val="17"/>
              </w:rPr>
              <w:t>Piqué knit, composition and g/m² stated; ribbed collar</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3</w:t>
            </w:r>
          </w:p>
        </w:tc>
        <w:tc>
          <w:tcPr>
            <w:tcW w:type="dxa" w:w="2551"/>
          </w:tcPr>
          <w:p>
            <w:pPr>
              <w:spacing w:after="40" w:before="40"/>
            </w:pPr>
            <w:r>
              <w:rPr>
                <w:rFonts w:ascii="Calibri" w:hAnsi="Calibri"/>
                <w:b/>
                <w:i w:val="0"/>
                <w:sz w:val="17"/>
              </w:rPr>
              <w:t>Sweatshirt</w:t>
            </w:r>
          </w:p>
        </w:tc>
        <w:tc>
          <w:tcPr>
            <w:tcW w:type="dxa" w:w="4762"/>
          </w:tcPr>
          <w:p>
            <w:pPr>
              <w:spacing w:after="40" w:before="40"/>
            </w:pPr>
            <w:r>
              <w:rPr>
                <w:rFonts w:ascii="Calibri" w:hAnsi="Calibri"/>
                <w:b w:val="0"/>
                <w:i w:val="0"/>
                <w:sz w:val="17"/>
              </w:rPr>
              <w:t>Brushed inner, composition and g/m² stated; hooded option</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4</w:t>
            </w:r>
          </w:p>
        </w:tc>
        <w:tc>
          <w:tcPr>
            <w:tcW w:type="dxa" w:w="2551"/>
            <w:shd w:val="clear" w:fill="F4F8FC"/>
          </w:tcPr>
          <w:p>
            <w:pPr>
              <w:spacing w:after="40" w:before="40"/>
            </w:pPr>
            <w:r>
              <w:rPr>
                <w:rFonts w:ascii="Calibri" w:hAnsi="Calibri"/>
                <w:b/>
                <w:i w:val="0"/>
                <w:sz w:val="17"/>
              </w:rPr>
              <w:t>Shirt, corporate</w:t>
            </w:r>
          </w:p>
        </w:tc>
        <w:tc>
          <w:tcPr>
            <w:tcW w:type="dxa" w:w="4762"/>
            <w:shd w:val="clear" w:fill="F4F8FC"/>
          </w:tcPr>
          <w:p>
            <w:pPr>
              <w:spacing w:after="40" w:before="40"/>
            </w:pPr>
            <w:r>
              <w:rPr>
                <w:rFonts w:ascii="Calibri" w:hAnsi="Calibri"/>
                <w:b w:val="0"/>
                <w:i w:val="0"/>
                <w:sz w:val="17"/>
              </w:rPr>
              <w:t>Poplin or oxford weave, cotton content and easy-care option</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5</w:t>
            </w:r>
          </w:p>
        </w:tc>
        <w:tc>
          <w:tcPr>
            <w:tcW w:type="dxa" w:w="2551"/>
          </w:tcPr>
          <w:p>
            <w:pPr>
              <w:spacing w:after="40" w:before="40"/>
            </w:pPr>
            <w:r>
              <w:rPr>
                <w:rFonts w:ascii="Calibri" w:hAnsi="Calibri"/>
                <w:b/>
                <w:i w:val="0"/>
                <w:sz w:val="17"/>
              </w:rPr>
              <w:t>Bodywarmer, corporate</w:t>
            </w:r>
          </w:p>
        </w:tc>
        <w:tc>
          <w:tcPr>
            <w:tcW w:type="dxa" w:w="4762"/>
          </w:tcPr>
          <w:p>
            <w:pPr>
              <w:spacing w:after="40" w:before="40"/>
            </w:pPr>
            <w:r>
              <w:rPr>
                <w:rFonts w:ascii="Calibri" w:hAnsi="Calibri"/>
                <w:b w:val="0"/>
                <w:i w:val="0"/>
                <w:sz w:val="17"/>
              </w:rPr>
              <w:t>Lined, zipped, pockets and flat area for branding</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6</w:t>
            </w:r>
          </w:p>
        </w:tc>
        <w:tc>
          <w:tcPr>
            <w:tcW w:type="dxa" w:w="2551"/>
            <w:shd w:val="clear" w:fill="F4F8FC"/>
          </w:tcPr>
          <w:p>
            <w:pPr>
              <w:spacing w:after="40" w:before="40"/>
            </w:pPr>
            <w:r>
              <w:rPr>
                <w:rFonts w:ascii="Calibri" w:hAnsi="Calibri"/>
                <w:b/>
                <w:i w:val="0"/>
                <w:sz w:val="17"/>
              </w:rPr>
              <w:t>Softshell jacket</w:t>
            </w:r>
          </w:p>
        </w:tc>
        <w:tc>
          <w:tcPr>
            <w:tcW w:type="dxa" w:w="4762"/>
            <w:shd w:val="clear" w:fill="F4F8FC"/>
          </w:tcPr>
          <w:p>
            <w:pPr>
              <w:spacing w:after="40" w:before="40"/>
            </w:pPr>
            <w:r>
              <w:rPr>
                <w:rFonts w:ascii="Calibri" w:hAnsi="Calibri"/>
                <w:b w:val="0"/>
                <w:i w:val="0"/>
                <w:sz w:val="17"/>
              </w:rPr>
              <w:t>Three layer, water resistance in mm and breathability stated</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7</w:t>
            </w:r>
          </w:p>
        </w:tc>
        <w:tc>
          <w:tcPr>
            <w:tcW w:type="dxa" w:w="2551"/>
          </w:tcPr>
          <w:p>
            <w:pPr>
              <w:spacing w:after="40" w:before="40"/>
            </w:pPr>
            <w:r>
              <w:rPr>
                <w:rFonts w:ascii="Calibri" w:hAnsi="Calibri"/>
                <w:b/>
                <w:i w:val="0"/>
                <w:sz w:val="17"/>
              </w:rPr>
              <w:t>Parka, winter jacket</w:t>
            </w:r>
          </w:p>
        </w:tc>
        <w:tc>
          <w:tcPr>
            <w:tcW w:type="dxa" w:w="4762"/>
          </w:tcPr>
          <w:p>
            <w:pPr>
              <w:spacing w:after="40" w:before="40"/>
            </w:pPr>
            <w:r>
              <w:rPr>
                <w:rFonts w:ascii="Calibri" w:hAnsi="Calibri"/>
                <w:b w:val="0"/>
                <w:i w:val="0"/>
                <w:sz w:val="17"/>
              </w:rPr>
              <w:t>Fill type, water resistance and detachable lining option</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8</w:t>
            </w:r>
          </w:p>
        </w:tc>
        <w:tc>
          <w:tcPr>
            <w:tcW w:type="dxa" w:w="2551"/>
            <w:shd w:val="clear" w:fill="F4F8FC"/>
          </w:tcPr>
          <w:p>
            <w:pPr>
              <w:spacing w:after="40" w:before="40"/>
            </w:pPr>
            <w:r>
              <w:rPr>
                <w:rFonts w:ascii="Calibri" w:hAnsi="Calibri"/>
                <w:b/>
                <w:i w:val="0"/>
                <w:sz w:val="17"/>
              </w:rPr>
              <w:t>Work shirt and trousers</w:t>
            </w:r>
          </w:p>
        </w:tc>
        <w:tc>
          <w:tcPr>
            <w:tcW w:type="dxa" w:w="4762"/>
            <w:shd w:val="clear" w:fill="F4F8FC"/>
          </w:tcPr>
          <w:p>
            <w:pPr>
              <w:spacing w:after="40" w:before="40"/>
            </w:pPr>
            <w:r>
              <w:rPr>
                <w:rFonts w:ascii="Calibri" w:hAnsi="Calibri"/>
                <w:b w:val="0"/>
                <w:i w:val="0"/>
                <w:sz w:val="17"/>
              </w:rPr>
              <w:t>Fabric composition, g/m² and pocket configuration stated</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9</w:t>
            </w:r>
          </w:p>
        </w:tc>
        <w:tc>
          <w:tcPr>
            <w:tcW w:type="dxa" w:w="2551"/>
          </w:tcPr>
          <w:p>
            <w:pPr>
              <w:spacing w:after="40" w:before="40"/>
            </w:pPr>
            <w:r>
              <w:rPr>
                <w:rFonts w:ascii="Calibri" w:hAnsi="Calibri"/>
                <w:b/>
                <w:i w:val="0"/>
                <w:sz w:val="17"/>
              </w:rPr>
              <w:t>Coverall</w:t>
            </w:r>
          </w:p>
        </w:tc>
        <w:tc>
          <w:tcPr>
            <w:tcW w:type="dxa" w:w="4762"/>
          </w:tcPr>
          <w:p>
            <w:pPr>
              <w:spacing w:after="40" w:before="40"/>
            </w:pPr>
            <w:r>
              <w:rPr>
                <w:rFonts w:ascii="Calibri" w:hAnsi="Calibri"/>
                <w:b w:val="0"/>
                <w:i w:val="0"/>
                <w:sz w:val="17"/>
              </w:rPr>
              <w:t>Fabric composition, g/m² and closure type stated</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10</w:t>
            </w:r>
          </w:p>
        </w:tc>
        <w:tc>
          <w:tcPr>
            <w:tcW w:type="dxa" w:w="2551"/>
            <w:shd w:val="clear" w:fill="F4F8FC"/>
          </w:tcPr>
          <w:p>
            <w:pPr>
              <w:spacing w:after="40" w:before="40"/>
            </w:pPr>
            <w:r>
              <w:rPr>
                <w:rFonts w:ascii="Calibri" w:hAnsi="Calibri"/>
                <w:b/>
                <w:i w:val="0"/>
                <w:sz w:val="17"/>
              </w:rPr>
              <w:t>Chef and service wear</w:t>
            </w:r>
          </w:p>
        </w:tc>
        <w:tc>
          <w:tcPr>
            <w:tcW w:type="dxa" w:w="4762"/>
            <w:shd w:val="clear" w:fill="F4F8FC"/>
          </w:tcPr>
          <w:p>
            <w:pPr>
              <w:spacing w:after="40" w:before="40"/>
            </w:pPr>
            <w:r>
              <w:rPr>
                <w:rFonts w:ascii="Calibri" w:hAnsi="Calibri"/>
                <w:b w:val="0"/>
                <w:i w:val="0"/>
                <w:sz w:val="17"/>
              </w:rPr>
              <w:t>Fabric composition, wash temperature and size range stated</w:t>
            </w:r>
          </w:p>
        </w:tc>
        <w:tc>
          <w:tcPr>
            <w:tcW w:type="dxa" w:w="907"/>
            <w:shd w:val="clear" w:fill="F4F8FC"/>
          </w:tcPr>
          <w:p>
            <w:pPr>
              <w:spacing w:after="40" w:before="40"/>
              <w:jc w:val="center"/>
            </w:pPr>
            <w:r>
              <w:rPr>
                <w:rFonts w:ascii="Calibri" w:hAnsi="Calibri"/>
                <w:b w:val="0"/>
                <w:i w:val="0"/>
                <w:sz w:val="17"/>
              </w:rPr>
              <w:t>Set</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11</w:t>
            </w:r>
          </w:p>
        </w:tc>
        <w:tc>
          <w:tcPr>
            <w:tcW w:type="dxa" w:w="2551"/>
          </w:tcPr>
          <w:p>
            <w:pPr>
              <w:spacing w:after="40" w:before="40"/>
            </w:pPr>
            <w:r>
              <w:rPr>
                <w:rFonts w:ascii="Calibri" w:hAnsi="Calibri"/>
                <w:b/>
                <w:i w:val="0"/>
                <w:sz w:val="17"/>
              </w:rPr>
              <w:t>Cap and beanie</w:t>
            </w:r>
          </w:p>
        </w:tc>
        <w:tc>
          <w:tcPr>
            <w:tcW w:type="dxa" w:w="4762"/>
          </w:tcPr>
          <w:p>
            <w:pPr>
              <w:spacing w:after="40" w:before="40"/>
            </w:pPr>
            <w:r>
              <w:rPr>
                <w:rFonts w:ascii="Calibri" w:hAnsi="Calibri"/>
                <w:b w:val="0"/>
                <w:i w:val="0"/>
                <w:sz w:val="17"/>
              </w:rPr>
              <w:t>Fabric, closure type and branding area stated</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12</w:t>
            </w:r>
          </w:p>
        </w:tc>
        <w:tc>
          <w:tcPr>
            <w:tcW w:type="dxa" w:w="2551"/>
            <w:shd w:val="clear" w:fill="F4F8FC"/>
          </w:tcPr>
          <w:p>
            <w:pPr>
              <w:spacing w:after="40" w:before="40"/>
            </w:pPr>
            <w:r>
              <w:rPr>
                <w:rFonts w:ascii="Calibri" w:hAnsi="Calibri"/>
                <w:b/>
                <w:i w:val="0"/>
                <w:sz w:val="17"/>
              </w:rPr>
              <w:t>Corporate bag and backpack</w:t>
            </w:r>
          </w:p>
        </w:tc>
        <w:tc>
          <w:tcPr>
            <w:tcW w:type="dxa" w:w="4762"/>
            <w:shd w:val="clear" w:fill="F4F8FC"/>
          </w:tcPr>
          <w:p>
            <w:pPr>
              <w:spacing w:after="40" w:before="40"/>
            </w:pPr>
            <w:r>
              <w:rPr>
                <w:rFonts w:ascii="Calibri" w:hAnsi="Calibri"/>
                <w:b w:val="0"/>
                <w:i w:val="0"/>
                <w:sz w:val="17"/>
              </w:rPr>
              <w:t>Volume, laptop compartment and fabric denier stated</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13</w:t>
            </w:r>
          </w:p>
        </w:tc>
        <w:tc>
          <w:tcPr>
            <w:tcW w:type="dxa" w:w="2551"/>
          </w:tcPr>
          <w:p>
            <w:pPr>
              <w:spacing w:after="40" w:before="40"/>
            </w:pPr>
            <w:r>
              <w:rPr>
                <w:rFonts w:ascii="Calibri" w:hAnsi="Calibri"/>
                <w:b/>
                <w:i w:val="0"/>
                <w:sz w:val="17"/>
              </w:rPr>
              <w:t>Tote bag</w:t>
            </w:r>
          </w:p>
        </w:tc>
        <w:tc>
          <w:tcPr>
            <w:tcW w:type="dxa" w:w="4762"/>
          </w:tcPr>
          <w:p>
            <w:pPr>
              <w:spacing w:after="40" w:before="40"/>
            </w:pPr>
            <w:r>
              <w:rPr>
                <w:rFonts w:ascii="Calibri" w:hAnsi="Calibri"/>
                <w:b w:val="0"/>
                <w:i w:val="0"/>
                <w:sz w:val="17"/>
              </w:rPr>
              <w:t>Fabric g/m², handle length and print area stated</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14</w:t>
            </w:r>
          </w:p>
        </w:tc>
        <w:tc>
          <w:tcPr>
            <w:tcW w:type="dxa" w:w="2551"/>
            <w:shd w:val="clear" w:fill="F4F8FC"/>
          </w:tcPr>
          <w:p>
            <w:pPr>
              <w:spacing w:after="40" w:before="40"/>
            </w:pPr>
            <w:r>
              <w:rPr>
                <w:rFonts w:ascii="Calibri" w:hAnsi="Calibri"/>
                <w:b/>
                <w:i w:val="0"/>
                <w:sz w:val="17"/>
              </w:rPr>
              <w:t>Towel and bathrobe</w:t>
            </w:r>
          </w:p>
        </w:tc>
        <w:tc>
          <w:tcPr>
            <w:tcW w:type="dxa" w:w="4762"/>
            <w:shd w:val="clear" w:fill="F4F8FC"/>
          </w:tcPr>
          <w:p>
            <w:pPr>
              <w:spacing w:after="40" w:before="40"/>
            </w:pPr>
            <w:r>
              <w:rPr>
                <w:rFonts w:ascii="Calibri" w:hAnsi="Calibri"/>
                <w:b w:val="0"/>
                <w:i w:val="0"/>
                <w:sz w:val="17"/>
              </w:rPr>
              <w:t>g/m², size and embroidery area stated</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15</w:t>
            </w:r>
          </w:p>
        </w:tc>
        <w:tc>
          <w:tcPr>
            <w:tcW w:type="dxa" w:w="2551"/>
          </w:tcPr>
          <w:p>
            <w:pPr>
              <w:spacing w:after="40" w:before="40"/>
            </w:pPr>
            <w:r>
              <w:rPr>
                <w:rFonts w:ascii="Calibri" w:hAnsi="Calibri"/>
                <w:b/>
                <w:i w:val="0"/>
                <w:sz w:val="17"/>
              </w:rPr>
              <w:t>Promotional pen</w:t>
            </w:r>
          </w:p>
        </w:tc>
        <w:tc>
          <w:tcPr>
            <w:tcW w:type="dxa" w:w="4762"/>
          </w:tcPr>
          <w:p>
            <w:pPr>
              <w:spacing w:after="40" w:before="40"/>
            </w:pPr>
            <w:r>
              <w:rPr>
                <w:rFonts w:ascii="Calibri" w:hAnsi="Calibri"/>
                <w:b w:val="0"/>
                <w:i w:val="0"/>
                <w:sz w:val="17"/>
              </w:rPr>
              <w:t>Body material, barrel diameter and print area stated</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16</w:t>
            </w:r>
          </w:p>
        </w:tc>
        <w:tc>
          <w:tcPr>
            <w:tcW w:type="dxa" w:w="2551"/>
            <w:shd w:val="clear" w:fill="F4F8FC"/>
          </w:tcPr>
          <w:p>
            <w:pPr>
              <w:spacing w:after="40" w:before="40"/>
            </w:pPr>
            <w:r>
              <w:rPr>
                <w:rFonts w:ascii="Calibri" w:hAnsi="Calibri"/>
                <w:b/>
                <w:i w:val="0"/>
                <w:sz w:val="17"/>
              </w:rPr>
              <w:t>Flask and water bottle</w:t>
            </w:r>
          </w:p>
        </w:tc>
        <w:tc>
          <w:tcPr>
            <w:tcW w:type="dxa" w:w="4762"/>
            <w:shd w:val="clear" w:fill="F4F8FC"/>
          </w:tcPr>
          <w:p>
            <w:pPr>
              <w:spacing w:after="40" w:before="40"/>
            </w:pPr>
            <w:r>
              <w:rPr>
                <w:rFonts w:ascii="Calibri" w:hAnsi="Calibri"/>
                <w:b w:val="0"/>
                <w:i w:val="0"/>
                <w:sz w:val="17"/>
              </w:rPr>
              <w:t>Capacity, wall type, material and branding method stated</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17</w:t>
            </w:r>
          </w:p>
        </w:tc>
        <w:tc>
          <w:tcPr>
            <w:tcW w:type="dxa" w:w="2551"/>
          </w:tcPr>
          <w:p>
            <w:pPr>
              <w:spacing w:after="40" w:before="40"/>
            </w:pPr>
            <w:r>
              <w:rPr>
                <w:rFonts w:ascii="Calibri" w:hAnsi="Calibri"/>
                <w:b/>
                <w:i w:val="0"/>
                <w:sz w:val="17"/>
              </w:rPr>
              <w:t>Notebook and diary</w:t>
            </w:r>
          </w:p>
        </w:tc>
        <w:tc>
          <w:tcPr>
            <w:tcW w:type="dxa" w:w="4762"/>
          </w:tcPr>
          <w:p>
            <w:pPr>
              <w:spacing w:after="40" w:before="40"/>
            </w:pPr>
            <w:r>
              <w:rPr>
                <w:rFonts w:ascii="Calibri" w:hAnsi="Calibri"/>
                <w:b w:val="0"/>
                <w:i w:val="0"/>
                <w:sz w:val="17"/>
              </w:rPr>
              <w:t>Size, page count, binding and branding method stated</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18</w:t>
            </w:r>
          </w:p>
        </w:tc>
        <w:tc>
          <w:tcPr>
            <w:tcW w:type="dxa" w:w="2551"/>
            <w:shd w:val="clear" w:fill="F4F8FC"/>
          </w:tcPr>
          <w:p>
            <w:pPr>
              <w:spacing w:after="40" w:before="40"/>
            </w:pPr>
            <w:r>
              <w:rPr>
                <w:rFonts w:ascii="Calibri" w:hAnsi="Calibri"/>
                <w:b/>
                <w:i w:val="0"/>
                <w:sz w:val="17"/>
              </w:rPr>
              <w:t>Power bank and tech gifts</w:t>
            </w:r>
          </w:p>
        </w:tc>
        <w:tc>
          <w:tcPr>
            <w:tcW w:type="dxa" w:w="4762"/>
            <w:shd w:val="clear" w:fill="F4F8FC"/>
          </w:tcPr>
          <w:p>
            <w:pPr>
              <w:spacing w:after="40" w:before="40"/>
            </w:pPr>
            <w:r>
              <w:rPr>
                <w:rFonts w:ascii="Calibri" w:hAnsi="Calibri"/>
                <w:b w:val="0"/>
                <w:i w:val="0"/>
                <w:sz w:val="17"/>
              </w:rPr>
              <w:t>Capacity in mAh, ports and branding area stated</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19</w:t>
            </w:r>
          </w:p>
        </w:tc>
        <w:tc>
          <w:tcPr>
            <w:tcW w:type="dxa" w:w="2551"/>
          </w:tcPr>
          <w:p>
            <w:pPr>
              <w:spacing w:after="40" w:before="40"/>
            </w:pPr>
            <w:r>
              <w:rPr>
                <w:rFonts w:ascii="Calibri" w:hAnsi="Calibri"/>
                <w:b/>
                <w:i w:val="0"/>
                <w:sz w:val="17"/>
              </w:rPr>
              <w:t>USB flash drive, promotional</w:t>
            </w:r>
          </w:p>
        </w:tc>
        <w:tc>
          <w:tcPr>
            <w:tcW w:type="dxa" w:w="4762"/>
          </w:tcPr>
          <w:p>
            <w:pPr>
              <w:spacing w:after="40" w:before="40"/>
            </w:pPr>
            <w:r>
              <w:rPr>
                <w:rFonts w:ascii="Calibri" w:hAnsi="Calibri"/>
                <w:b w:val="0"/>
                <w:i w:val="0"/>
                <w:sz w:val="17"/>
              </w:rPr>
              <w:t>Capacity, interface, casing and data preload option</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20</w:t>
            </w:r>
          </w:p>
        </w:tc>
        <w:tc>
          <w:tcPr>
            <w:tcW w:type="dxa" w:w="2551"/>
            <w:shd w:val="clear" w:fill="F4F8FC"/>
          </w:tcPr>
          <w:p>
            <w:pPr>
              <w:spacing w:after="40" w:before="40"/>
            </w:pPr>
            <w:r>
              <w:rPr>
                <w:rFonts w:ascii="Calibri" w:hAnsi="Calibri"/>
                <w:b/>
                <w:i w:val="0"/>
                <w:sz w:val="17"/>
              </w:rPr>
              <w:t>ID card and lanyard</w:t>
            </w:r>
          </w:p>
        </w:tc>
        <w:tc>
          <w:tcPr>
            <w:tcW w:type="dxa" w:w="4762"/>
            <w:shd w:val="clear" w:fill="F4F8FC"/>
          </w:tcPr>
          <w:p>
            <w:pPr>
              <w:spacing w:after="40" w:before="40"/>
            </w:pPr>
            <w:r>
              <w:rPr>
                <w:rFonts w:ascii="Calibri" w:hAnsi="Calibri"/>
                <w:b w:val="0"/>
                <w:i w:val="0"/>
                <w:sz w:val="17"/>
              </w:rPr>
              <w:t>Card size, lanyard width, safety breakaway and print</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21</w:t>
            </w:r>
          </w:p>
        </w:tc>
        <w:tc>
          <w:tcPr>
            <w:tcW w:type="dxa" w:w="2551"/>
          </w:tcPr>
          <w:p>
            <w:pPr>
              <w:spacing w:after="40" w:before="40"/>
            </w:pPr>
            <w:r>
              <w:rPr>
                <w:rFonts w:ascii="Calibri" w:hAnsi="Calibri"/>
                <w:b/>
                <w:i w:val="0"/>
                <w:sz w:val="17"/>
              </w:rPr>
              <w:t>Badge and pin</w:t>
            </w:r>
          </w:p>
        </w:tc>
        <w:tc>
          <w:tcPr>
            <w:tcW w:type="dxa" w:w="4762"/>
          </w:tcPr>
          <w:p>
            <w:pPr>
              <w:spacing w:after="40" w:before="40"/>
            </w:pPr>
            <w:r>
              <w:rPr>
                <w:rFonts w:ascii="Calibri" w:hAnsi="Calibri"/>
                <w:b w:val="0"/>
                <w:i w:val="0"/>
                <w:sz w:val="17"/>
              </w:rPr>
              <w:t>Size, fixing type, finish and colour count stated</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22</w:t>
            </w:r>
          </w:p>
        </w:tc>
        <w:tc>
          <w:tcPr>
            <w:tcW w:type="dxa" w:w="2551"/>
            <w:shd w:val="clear" w:fill="F4F8FC"/>
          </w:tcPr>
          <w:p>
            <w:pPr>
              <w:spacing w:after="40" w:before="40"/>
            </w:pPr>
            <w:r>
              <w:rPr>
                <w:rFonts w:ascii="Calibri" w:hAnsi="Calibri"/>
                <w:b/>
                <w:i w:val="0"/>
                <w:sz w:val="17"/>
              </w:rPr>
              <w:t>Desk gift set</w:t>
            </w:r>
          </w:p>
        </w:tc>
        <w:tc>
          <w:tcPr>
            <w:tcW w:type="dxa" w:w="4762"/>
            <w:shd w:val="clear" w:fill="F4F8FC"/>
          </w:tcPr>
          <w:p>
            <w:pPr>
              <w:spacing w:after="40" w:before="40"/>
            </w:pPr>
            <w:r>
              <w:rPr>
                <w:rFonts w:ascii="Calibri" w:hAnsi="Calibri"/>
                <w:b w:val="0"/>
                <w:i w:val="0"/>
                <w:sz w:val="17"/>
              </w:rPr>
              <w:t>Contents list, packaging and branding method stated</w:t>
            </w:r>
          </w:p>
        </w:tc>
        <w:tc>
          <w:tcPr>
            <w:tcW w:type="dxa" w:w="907"/>
            <w:shd w:val="clear" w:fill="F4F8FC"/>
          </w:tcPr>
          <w:p>
            <w:pPr>
              <w:spacing w:after="40" w:before="40"/>
              <w:jc w:val="center"/>
            </w:pPr>
            <w:r>
              <w:rPr>
                <w:rFonts w:ascii="Calibri" w:hAnsi="Calibri"/>
                <w:b w:val="0"/>
                <w:i w:val="0"/>
                <w:sz w:val="17"/>
              </w:rPr>
              <w:t>Set</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23</w:t>
            </w:r>
          </w:p>
        </w:tc>
        <w:tc>
          <w:tcPr>
            <w:tcW w:type="dxa" w:w="2551"/>
          </w:tcPr>
          <w:p>
            <w:pPr>
              <w:spacing w:after="40" w:before="40"/>
            </w:pPr>
            <w:r>
              <w:rPr>
                <w:rFonts w:ascii="Calibri" w:hAnsi="Calibri"/>
                <w:b/>
                <w:i w:val="0"/>
                <w:sz w:val="17"/>
              </w:rPr>
              <w:t>Screen printing service</w:t>
            </w:r>
          </w:p>
        </w:tc>
        <w:tc>
          <w:tcPr>
            <w:tcW w:type="dxa" w:w="4762"/>
          </w:tcPr>
          <w:p>
            <w:pPr>
              <w:spacing w:after="40" w:before="40"/>
            </w:pPr>
            <w:r>
              <w:rPr>
                <w:rFonts w:ascii="Calibri" w:hAnsi="Calibri"/>
                <w:b w:val="0"/>
                <w:i w:val="0"/>
                <w:sz w:val="17"/>
              </w:rPr>
              <w:t>Print size, colour count and screen setup priced separately</w:t>
            </w:r>
          </w:p>
        </w:tc>
        <w:tc>
          <w:tcPr>
            <w:tcW w:type="dxa" w:w="907"/>
          </w:tcPr>
          <w:p>
            <w:pPr>
              <w:spacing w:after="40" w:before="40"/>
              <w:jc w:val="center"/>
            </w:pPr>
            <w:r>
              <w:rPr>
                <w:rFonts w:ascii="Calibri" w:hAnsi="Calibri"/>
                <w:b w:val="0"/>
                <w:i w:val="0"/>
                <w:sz w:val="17"/>
              </w:rPr>
              <w:t>Service</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24</w:t>
            </w:r>
          </w:p>
        </w:tc>
        <w:tc>
          <w:tcPr>
            <w:tcW w:type="dxa" w:w="2551"/>
            <w:shd w:val="clear" w:fill="F4F8FC"/>
          </w:tcPr>
          <w:p>
            <w:pPr>
              <w:spacing w:after="40" w:before="40"/>
            </w:pPr>
            <w:r>
              <w:rPr>
                <w:rFonts w:ascii="Calibri" w:hAnsi="Calibri"/>
                <w:b/>
                <w:i w:val="0"/>
                <w:sz w:val="17"/>
              </w:rPr>
              <w:t>DTF transfer printing service</w:t>
            </w:r>
          </w:p>
        </w:tc>
        <w:tc>
          <w:tcPr>
            <w:tcW w:type="dxa" w:w="4762"/>
            <w:shd w:val="clear" w:fill="F4F8FC"/>
          </w:tcPr>
          <w:p>
            <w:pPr>
              <w:spacing w:after="40" w:before="40"/>
            </w:pPr>
            <w:r>
              <w:rPr>
                <w:rFonts w:ascii="Calibri" w:hAnsi="Calibri"/>
                <w:b w:val="0"/>
                <w:i w:val="0"/>
                <w:sz w:val="17"/>
              </w:rPr>
              <w:t>Print size and wash durability expectation stated</w:t>
            </w:r>
          </w:p>
        </w:tc>
        <w:tc>
          <w:tcPr>
            <w:tcW w:type="dxa" w:w="907"/>
            <w:shd w:val="clear" w:fill="F4F8FC"/>
          </w:tcPr>
          <w:p>
            <w:pPr>
              <w:spacing w:after="40" w:before="40"/>
              <w:jc w:val="center"/>
            </w:pPr>
            <w:r>
              <w:rPr>
                <w:rFonts w:ascii="Calibri" w:hAnsi="Calibri"/>
                <w:b w:val="0"/>
                <w:i w:val="0"/>
                <w:sz w:val="17"/>
              </w:rPr>
              <w:t>Service</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25</w:t>
            </w:r>
          </w:p>
        </w:tc>
        <w:tc>
          <w:tcPr>
            <w:tcW w:type="dxa" w:w="2551"/>
          </w:tcPr>
          <w:p>
            <w:pPr>
              <w:spacing w:after="40" w:before="40"/>
            </w:pPr>
            <w:r>
              <w:rPr>
                <w:rFonts w:ascii="Calibri" w:hAnsi="Calibri"/>
                <w:b/>
                <w:i w:val="0"/>
                <w:sz w:val="17"/>
              </w:rPr>
              <w:t>Embroidery service</w:t>
            </w:r>
          </w:p>
        </w:tc>
        <w:tc>
          <w:tcPr>
            <w:tcW w:type="dxa" w:w="4762"/>
          </w:tcPr>
          <w:p>
            <w:pPr>
              <w:spacing w:after="40" w:before="40"/>
            </w:pPr>
            <w:r>
              <w:rPr>
                <w:rFonts w:ascii="Calibri" w:hAnsi="Calibri"/>
                <w:b w:val="0"/>
                <w:i w:val="0"/>
                <w:sz w:val="17"/>
              </w:rPr>
              <w:t>Stitch count, position and one-off digitising cost stated</w:t>
            </w:r>
          </w:p>
        </w:tc>
        <w:tc>
          <w:tcPr>
            <w:tcW w:type="dxa" w:w="907"/>
          </w:tcPr>
          <w:p>
            <w:pPr>
              <w:spacing w:after="40" w:before="40"/>
              <w:jc w:val="center"/>
            </w:pPr>
            <w:r>
              <w:rPr>
                <w:rFonts w:ascii="Calibri" w:hAnsi="Calibri"/>
                <w:b w:val="0"/>
                <w:i w:val="0"/>
                <w:sz w:val="17"/>
              </w:rPr>
              <w:t>Service</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26</w:t>
            </w:r>
          </w:p>
        </w:tc>
        <w:tc>
          <w:tcPr>
            <w:tcW w:type="dxa" w:w="2551"/>
            <w:shd w:val="clear" w:fill="F4F8FC"/>
          </w:tcPr>
          <w:p>
            <w:pPr>
              <w:spacing w:after="40" w:before="40"/>
            </w:pPr>
            <w:r>
              <w:rPr>
                <w:rFonts w:ascii="Calibri" w:hAnsi="Calibri"/>
                <w:b/>
                <w:i w:val="0"/>
                <w:sz w:val="17"/>
              </w:rPr>
              <w:t>Sublimation printing service</w:t>
            </w:r>
          </w:p>
        </w:tc>
        <w:tc>
          <w:tcPr>
            <w:tcW w:type="dxa" w:w="4762"/>
            <w:shd w:val="clear" w:fill="F4F8FC"/>
          </w:tcPr>
          <w:p>
            <w:pPr>
              <w:spacing w:after="40" w:before="40"/>
            </w:pPr>
            <w:r>
              <w:rPr>
                <w:rFonts w:ascii="Calibri" w:hAnsi="Calibri"/>
                <w:b w:val="0"/>
                <w:i w:val="0"/>
                <w:sz w:val="17"/>
              </w:rPr>
              <w:t>Suitable for polyester fabrics; print area stated</w:t>
            </w:r>
          </w:p>
        </w:tc>
        <w:tc>
          <w:tcPr>
            <w:tcW w:type="dxa" w:w="907"/>
            <w:shd w:val="clear" w:fill="F4F8FC"/>
          </w:tcPr>
          <w:p>
            <w:pPr>
              <w:spacing w:after="40" w:before="40"/>
              <w:jc w:val="center"/>
            </w:pPr>
            <w:r>
              <w:rPr>
                <w:rFonts w:ascii="Calibri" w:hAnsi="Calibri"/>
                <w:b w:val="0"/>
                <w:i w:val="0"/>
                <w:sz w:val="17"/>
              </w:rPr>
              <w:t>Service</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27</w:t>
            </w:r>
          </w:p>
        </w:tc>
        <w:tc>
          <w:tcPr>
            <w:tcW w:type="dxa" w:w="2551"/>
          </w:tcPr>
          <w:p>
            <w:pPr>
              <w:spacing w:after="40" w:before="40"/>
            </w:pPr>
            <w:r>
              <w:rPr>
                <w:rFonts w:ascii="Calibri" w:hAnsi="Calibri"/>
                <w:b/>
                <w:i w:val="0"/>
                <w:sz w:val="17"/>
              </w:rPr>
              <w:t>Size sample set</w:t>
            </w:r>
          </w:p>
        </w:tc>
        <w:tc>
          <w:tcPr>
            <w:tcW w:type="dxa" w:w="4762"/>
          </w:tcPr>
          <w:p>
            <w:pPr>
              <w:spacing w:after="40" w:before="40"/>
            </w:pPr>
            <w:r>
              <w:rPr>
                <w:rFonts w:ascii="Calibri" w:hAnsi="Calibri"/>
                <w:b w:val="0"/>
                <w:i w:val="0"/>
                <w:sz w:val="17"/>
              </w:rPr>
              <w:t>For fitting before bulk order; returnable terms stated</w:t>
            </w:r>
          </w:p>
        </w:tc>
        <w:tc>
          <w:tcPr>
            <w:tcW w:type="dxa" w:w="907"/>
          </w:tcPr>
          <w:p>
            <w:pPr>
              <w:spacing w:after="40" w:before="40"/>
              <w:jc w:val="center"/>
            </w:pPr>
            <w:r>
              <w:rPr>
                <w:rFonts w:ascii="Calibri" w:hAnsi="Calibri"/>
                <w:b w:val="0"/>
                <w:i w:val="0"/>
                <w:sz w:val="17"/>
              </w:rPr>
              <w:t>Set</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28</w:t>
            </w:r>
          </w:p>
        </w:tc>
        <w:tc>
          <w:tcPr>
            <w:tcW w:type="dxa" w:w="2551"/>
            <w:shd w:val="clear" w:fill="F4F8FC"/>
          </w:tcPr>
          <w:p>
            <w:pPr>
              <w:spacing w:after="40" w:before="40"/>
            </w:pPr>
            <w:r>
              <w:rPr>
                <w:rFonts w:ascii="Calibri" w:hAnsi="Calibri"/>
                <w:b/>
                <w:i w:val="0"/>
                <w:sz w:val="17"/>
              </w:rPr>
              <w:t>Individual bagging and name labelling</w:t>
            </w:r>
          </w:p>
        </w:tc>
        <w:tc>
          <w:tcPr>
            <w:tcW w:type="dxa" w:w="4762"/>
            <w:shd w:val="clear" w:fill="F4F8FC"/>
          </w:tcPr>
          <w:p>
            <w:pPr>
              <w:spacing w:after="40" w:before="40"/>
            </w:pPr>
            <w:r>
              <w:rPr>
                <w:rFonts w:ascii="Calibri" w:hAnsi="Calibri"/>
                <w:b w:val="0"/>
                <w:i w:val="0"/>
                <w:sz w:val="17"/>
              </w:rPr>
              <w:t>Per-unit service; label content supplied by the buyer</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bl>
    <w:p>
      <w:pPr>
        <w:spacing w:after="200" w:before="0"/>
      </w:pPr>
    </w:p>
    <w:p>
      <w:pPr>
        <w:spacing w:before="280" w:after="100"/>
      </w:pPr>
      <w:r>
        <w:rPr>
          <w:rFonts w:ascii="Calibri" w:hAnsi="Calibri"/>
          <w:b/>
          <w:i w:val="0"/>
          <w:color w:val="1F2937"/>
          <w:sz w:val="26"/>
        </w:rPr>
        <w:t>15. Approval</w:t>
      </w:r>
    </w:p>
    <w:p>
      <w:pPr>
        <w:spacing w:after="280" w:before="0"/>
      </w:pPr>
      <w:r>
        <w:rPr>
          <w:rFonts w:ascii="Calibri" w:hAnsi="Calibri"/>
          <w:b w:val="0"/>
          <w:i w:val="0"/>
          <w:sz w:val="20"/>
        </w:rPr>
        <w:t>This technical specification consists of … pages and … clauses and has been prepared and signed by those named below.</w:t>
      </w:r>
    </w:p>
    <w:tbl>
      <w:tblPr>
        <w:tblW w:type="auto" w:w="0"/>
        <w:tblLook w:firstColumn="1" w:firstRow="1" w:lastColumn="0" w:lastRow="0" w:noHBand="0" w:noVBand="1" w:val="04A0"/>
      </w:tblPr>
      <w:tblGrid>
        <w:gridCol w:w="3362"/>
        <w:gridCol w:w="3362"/>
        <w:gridCol w:w="3362"/>
      </w:tblGrid>
      <w:tr>
        <w:tc>
          <w:tcPr>
            <w:tcW w:type="dxa" w:w="3175"/>
            <w:shd w:val="clear" w:fill="F4F8FC"/>
          </w:tcPr>
          <w:p>
            <w:pPr>
              <w:spacing w:after="80"/>
            </w:pPr>
            <w:r>
              <w:rPr>
                <w:rFonts w:ascii="Calibri" w:hAnsi="Calibri"/>
                <w:b/>
                <w:i w:val="0"/>
                <w:color w:val="1F2937"/>
                <w:sz w:val="19"/>
              </w:rPr>
              <w:t>Prepared by</w:t>
            </w:r>
          </w:p>
        </w:tc>
        <w:tc>
          <w:tcPr>
            <w:tcW w:type="dxa" w:w="3175"/>
            <w:shd w:val="clear" w:fill="F4F8FC"/>
          </w:tcPr>
          <w:p>
            <w:pPr>
              <w:spacing w:after="80"/>
            </w:pPr>
            <w:r>
              <w:rPr>
                <w:rFonts w:ascii="Calibri" w:hAnsi="Calibri"/>
                <w:b/>
                <w:i w:val="0"/>
                <w:color w:val="1F2937"/>
                <w:sz w:val="19"/>
              </w:rPr>
              <w:t>Checked by</w:t>
            </w:r>
          </w:p>
        </w:tc>
        <w:tc>
          <w:tcPr>
            <w:tcW w:type="dxa" w:w="3175"/>
            <w:shd w:val="clear" w:fill="F4F8FC"/>
          </w:tcPr>
          <w:p>
            <w:pPr>
              <w:spacing w:after="80"/>
            </w:pPr>
            <w:r>
              <w:rPr>
                <w:rFonts w:ascii="Calibri" w:hAnsi="Calibri"/>
                <w:b/>
                <w:i w:val="0"/>
                <w:color w:val="1F2937"/>
                <w:sz w:val="19"/>
              </w:rPr>
              <w:t>Approved by</w:t>
            </w:r>
          </w:p>
        </w:tc>
      </w:tr>
      <w:tr>
        <w:tc>
          <w:tcPr>
            <w:tcW w:type="dxa" w:w="3175"/>
          </w:tcPr>
          <w:p>
            <w:pPr>
              <w:spacing w:after="80"/>
            </w:pPr>
            <w:r>
              <w:rPr>
                <w:rFonts w:ascii="Calibri" w:hAnsi="Calibri"/>
                <w:b w:val="0"/>
                <w:i w:val="0"/>
                <w:sz w:val="19"/>
              </w:rPr>
              <w:t>Name: …</w:t>
            </w:r>
          </w:p>
        </w:tc>
        <w:tc>
          <w:tcPr>
            <w:tcW w:type="dxa" w:w="3175"/>
          </w:tcPr>
          <w:p>
            <w:pPr>
              <w:spacing w:after="80"/>
            </w:pPr>
            <w:r>
              <w:rPr>
                <w:rFonts w:ascii="Calibri" w:hAnsi="Calibri"/>
                <w:b w:val="0"/>
                <w:i w:val="0"/>
                <w:sz w:val="19"/>
              </w:rPr>
              <w:t>Name: …</w:t>
            </w:r>
          </w:p>
        </w:tc>
        <w:tc>
          <w:tcPr>
            <w:tcW w:type="dxa" w:w="3175"/>
          </w:tcPr>
          <w:p>
            <w:pPr>
              <w:spacing w:after="80"/>
            </w:pPr>
            <w:r>
              <w:rPr>
                <w:rFonts w:ascii="Calibri" w:hAnsi="Calibri"/>
                <w:b w:val="0"/>
                <w:i w:val="0"/>
                <w:sz w:val="19"/>
              </w:rPr>
              <w:t>Name: …</w:t>
            </w:r>
          </w:p>
        </w:tc>
      </w:tr>
      <w:tr>
        <w:tc>
          <w:tcPr>
            <w:tcW w:type="dxa" w:w="3175"/>
          </w:tcPr>
          <w:p>
            <w:pPr>
              <w:spacing w:after="80"/>
            </w:pPr>
            <w:r>
              <w:rPr>
                <w:rFonts w:ascii="Calibri" w:hAnsi="Calibri"/>
                <w:b w:val="0"/>
                <w:i w:val="0"/>
                <w:sz w:val="19"/>
              </w:rPr>
              <w:t>Title: …</w:t>
            </w:r>
          </w:p>
        </w:tc>
        <w:tc>
          <w:tcPr>
            <w:tcW w:type="dxa" w:w="3175"/>
          </w:tcPr>
          <w:p>
            <w:pPr>
              <w:spacing w:after="80"/>
            </w:pPr>
            <w:r>
              <w:rPr>
                <w:rFonts w:ascii="Calibri" w:hAnsi="Calibri"/>
                <w:b w:val="0"/>
                <w:i w:val="0"/>
                <w:sz w:val="19"/>
              </w:rPr>
              <w:t>Title: …</w:t>
            </w:r>
          </w:p>
        </w:tc>
        <w:tc>
          <w:tcPr>
            <w:tcW w:type="dxa" w:w="3175"/>
          </w:tcPr>
          <w:p>
            <w:pPr>
              <w:spacing w:after="80"/>
            </w:pPr>
            <w:r>
              <w:rPr>
                <w:rFonts w:ascii="Calibri" w:hAnsi="Calibri"/>
                <w:b w:val="0"/>
                <w:i w:val="0"/>
                <w:sz w:val="19"/>
              </w:rPr>
              <w:t>Title: …</w:t>
            </w:r>
          </w:p>
        </w:tc>
      </w:tr>
      <w:tr>
        <w:tc>
          <w:tcPr>
            <w:tcW w:type="dxa" w:w="3175"/>
          </w:tcPr>
          <w:p>
            <w:pPr>
              <w:spacing w:after="80"/>
            </w:pPr>
            <w:r>
              <w:rPr>
                <w:rFonts w:ascii="Calibri" w:hAnsi="Calibri"/>
                <w:b w:val="0"/>
                <w:i w:val="0"/>
                <w:sz w:val="19"/>
              </w:rPr>
              <w:t>Signature:</w:t>
            </w:r>
          </w:p>
        </w:tc>
        <w:tc>
          <w:tcPr>
            <w:tcW w:type="dxa" w:w="3175"/>
          </w:tcPr>
          <w:p>
            <w:pPr>
              <w:spacing w:after="80"/>
            </w:pPr>
            <w:r>
              <w:rPr>
                <w:rFonts w:ascii="Calibri" w:hAnsi="Calibri"/>
                <w:b w:val="0"/>
                <w:i w:val="0"/>
                <w:sz w:val="19"/>
              </w:rPr>
              <w:t>Signature:</w:t>
            </w:r>
          </w:p>
        </w:tc>
        <w:tc>
          <w:tcPr>
            <w:tcW w:type="dxa" w:w="3175"/>
          </w:tcPr>
          <w:p>
            <w:pPr>
              <w:spacing w:after="80"/>
            </w:pPr>
            <w:r>
              <w:rPr>
                <w:rFonts w:ascii="Calibri" w:hAnsi="Calibri"/>
                <w:b w:val="0"/>
                <w:i w:val="0"/>
                <w:sz w:val="19"/>
              </w:rPr>
              <w:t>Signature:</w:t>
            </w:r>
          </w:p>
        </w:tc>
      </w:tr>
    </w:tbl>
    <w:p>
      <w:pPr>
        <w:spacing w:after="240" w:before="0"/>
      </w:pPr>
    </w:p>
    <w:p>
      <w:pPr>
        <w:spacing w:after="160" w:before="0"/>
      </w:pPr>
      <w:r>
        <w:rPr>
          <w:rFonts w:ascii="Calibri" w:hAnsi="Calibri"/>
          <w:b w:val="0"/>
          <w:i/>
          <w:color w:val="5F7891"/>
          <w:sz w:val="17"/>
        </w:rPr>
        <w:t>This template is a general-purpose example and should be adapted to your organisation's requirements and to the rules that apply where you are buying. Fields left as an ellipsis (…) are completed by the buyer. The governing principle behind it is that technical criteria should secure efficiency and fitness for purpose, should not restrict competition, and should give every bidder an equal opportunity — a requirement written into public procurement law in many countries. Check the legislation in force where you are.</w:t>
      </w:r>
    </w:p>
    <w:p>
      <w:pPr>
        <w:spacing w:after="120" w:before="0"/>
      </w:pPr>
      <w:r>
        <w:rPr>
          <w:rFonts w:ascii="Calibri" w:hAnsi="Calibri"/>
          <w:b w:val="0"/>
          <w:i w:val="0"/>
          <w:color w:val="5F7891"/>
          <w:sz w:val="16"/>
        </w:rPr>
        <w:t>Template: AKSCO Ticaret ve Tedarik · https://aksco.com.tr · 0534 335 69 22 · Version 2026-09-25 · Free, no sign-up required</w:t>
      </w:r>
    </w:p>
    <w:sectPr w:rsidR="00FC693F" w:rsidRPr="0006063C" w:rsidSect="00034616">
      <w:pgSz w:w="12240" w:h="15840"/>
      <w:pgMar w:top="1020" w:right="1077" w:bottom="1020" w:left="107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AKSCO Ticaret ve Tedarik</dc:creator>
  <cp:keywords/>
  <dc:description>generated by python-docx</dc:description>
  <cp:lastModifiedBy/>
  <cp:revision>1</cp:revision>
  <dcterms:created xsi:type="dcterms:W3CDTF">2026-09-25T12:00:00Z</dcterms:created>
  <dcterms:modified xsi:type="dcterms:W3CDTF">2026-09-25T12:00:00Z</dcterms:modified>
  <cp:category/>
</cp:coreProperties>
</file>